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F06113">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416DC0" w:rsidRPr="00B0481C">
          <w:rPr>
            <w:rStyle w:val="Hipersaitas"/>
            <w:rFonts w:ascii="Times New Roman" w:eastAsia="Calibri" w:hAnsi="Times New Roman" w:cs="Times New Roman"/>
            <w:color w:val="0000FF"/>
            <w:sz w:val="24"/>
            <w:szCs w:val="28"/>
          </w:rPr>
          <w:t>559</w:t>
        </w:r>
      </w:hyperlink>
      <w:bookmarkStart w:id="0" w:name="_GoBack"/>
      <w:bookmarkEnd w:id="0"/>
    </w:p>
    <w:p w:rsidR="00A32F3E" w:rsidRPr="00410244" w:rsidRDefault="00A32F3E" w:rsidP="009C3AAF">
      <w:pPr>
        <w:spacing w:after="0" w:line="360" w:lineRule="auto"/>
        <w:ind w:left="9072" w:firstLine="1296"/>
        <w:contextualSpacing/>
        <w:jc w:val="center"/>
        <w:rPr>
          <w:rFonts w:ascii="Times New Roman" w:eastAsia="Calibri" w:hAnsi="Times New Roman" w:cs="Times New Roman"/>
          <w:sz w:val="24"/>
          <w:szCs w:val="28"/>
        </w:rPr>
      </w:pPr>
    </w:p>
    <w:p w:rsidR="009C3AAF" w:rsidRPr="00932750" w:rsidRDefault="009C3AAF" w:rsidP="00846A09">
      <w:pPr>
        <w:spacing w:after="0" w:line="360" w:lineRule="auto"/>
        <w:contextualSpacing/>
        <w:jc w:val="center"/>
        <w:rPr>
          <w:color w:val="1F4E79" w:themeColor="accent1" w:themeShade="80"/>
          <w:sz w:val="28"/>
          <w:szCs w:val="28"/>
        </w:rPr>
      </w:pPr>
      <w:r w:rsidRPr="009C3AAF">
        <w:rPr>
          <w:rFonts w:ascii="Times New Roman" w:eastAsia="Calibri" w:hAnsi="Times New Roman" w:cs="Times New Roman"/>
          <w:b/>
          <w:sz w:val="28"/>
          <w:szCs w:val="28"/>
        </w:rPr>
        <w:t xml:space="preserve">KVIETIMAS TEIKTI PARAIŠKAS PAGAL NEVYRIAUSYBINIŲ ORGANIZACIJŲ IR MIESTO BENDRUOMENĖS ĮGALINIMO SRITIES PRIORITETĄ </w:t>
      </w:r>
      <w:r w:rsidR="00846A09" w:rsidRPr="00846A09">
        <w:rPr>
          <w:rFonts w:ascii="Times New Roman" w:eastAsia="Calibri" w:hAnsi="Times New Roman" w:cs="Times New Roman"/>
          <w:b/>
          <w:sz w:val="28"/>
          <w:szCs w:val="28"/>
        </w:rPr>
        <w:t>„NAUJŲ ATVIRŲ JAUNIMO CENTRŲ IR JAUNIMO ERDVIŲ PASLAUGŲ PLĖTRA“ NR. 2016-4-4.3-1</w:t>
      </w:r>
    </w:p>
    <w:tbl>
      <w:tblPr>
        <w:tblStyle w:val="Lentelstinklelis"/>
        <w:tblW w:w="14992" w:type="dxa"/>
        <w:tblLook w:val="04A0" w:firstRow="1" w:lastRow="0" w:firstColumn="1" w:lastColumn="0" w:noHBand="0" w:noVBand="1"/>
      </w:tblPr>
      <w:tblGrid>
        <w:gridCol w:w="570"/>
        <w:gridCol w:w="2241"/>
        <w:gridCol w:w="12181"/>
      </w:tblGrid>
      <w:tr w:rsidR="00520884" w:rsidRPr="00520884" w:rsidTr="0009564E">
        <w:tc>
          <w:tcPr>
            <w:tcW w:w="570" w:type="dxa"/>
            <w:shd w:val="clear" w:color="auto" w:fill="auto"/>
            <w:vAlign w:val="center"/>
          </w:tcPr>
          <w:p w:rsidR="00420B2A" w:rsidRPr="00520884" w:rsidRDefault="00420B2A"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Eil. Nr.</w:t>
            </w:r>
          </w:p>
        </w:tc>
        <w:tc>
          <w:tcPr>
            <w:tcW w:w="2241" w:type="dxa"/>
            <w:shd w:val="clear" w:color="auto" w:fill="auto"/>
            <w:vAlign w:val="center"/>
          </w:tcPr>
          <w:p w:rsidR="00420B2A" w:rsidRPr="00520884" w:rsidRDefault="00A51650"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S</w:t>
            </w:r>
            <w:r w:rsidR="00420B2A" w:rsidRPr="00520884">
              <w:rPr>
                <w:rFonts w:ascii="Times New Roman" w:hAnsi="Times New Roman" w:cs="Times New Roman"/>
                <w:sz w:val="24"/>
                <w:szCs w:val="24"/>
              </w:rPr>
              <w:t>ąlygos</w:t>
            </w:r>
          </w:p>
        </w:tc>
        <w:tc>
          <w:tcPr>
            <w:tcW w:w="12181" w:type="dxa"/>
            <w:shd w:val="clear" w:color="auto" w:fill="auto"/>
            <w:vAlign w:val="center"/>
          </w:tcPr>
          <w:p w:rsidR="00420B2A" w:rsidRPr="00520884" w:rsidRDefault="00A51650" w:rsidP="009876DC">
            <w:pPr>
              <w:spacing w:line="360" w:lineRule="auto"/>
              <w:contextualSpacing/>
              <w:jc w:val="center"/>
              <w:rPr>
                <w:rFonts w:ascii="Times New Roman" w:hAnsi="Times New Roman" w:cs="Times New Roman"/>
                <w:sz w:val="24"/>
                <w:szCs w:val="24"/>
              </w:rPr>
            </w:pPr>
            <w:r w:rsidRPr="00520884">
              <w:rPr>
                <w:rFonts w:ascii="Times New Roman" w:hAnsi="Times New Roman" w:cs="Times New Roman"/>
                <w:sz w:val="24"/>
                <w:szCs w:val="24"/>
              </w:rPr>
              <w:t>Aprašymas</w:t>
            </w:r>
          </w:p>
        </w:tc>
      </w:tr>
      <w:tr w:rsidR="00520884" w:rsidRPr="00520884" w:rsidTr="0009564E">
        <w:tc>
          <w:tcPr>
            <w:tcW w:w="570" w:type="dxa"/>
          </w:tcPr>
          <w:p w:rsidR="00420B2A" w:rsidRPr="00520884"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520884" w:rsidRDefault="009F5C7D"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 xml:space="preserve">Sritis </w:t>
            </w:r>
          </w:p>
        </w:tc>
        <w:tc>
          <w:tcPr>
            <w:tcW w:w="12181" w:type="dxa"/>
          </w:tcPr>
          <w:p w:rsidR="00420B2A" w:rsidRPr="00520884" w:rsidRDefault="009C3AAF" w:rsidP="00CF1A77">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lang w:bidi="he-IL"/>
              </w:rPr>
              <w:t>Nevyriausybinių organizacijų ir miesto bendruomenės įgalinimo sritis</w:t>
            </w:r>
          </w:p>
        </w:tc>
      </w:tr>
      <w:tr w:rsidR="00520884" w:rsidRPr="00520884" w:rsidTr="0009564E">
        <w:tc>
          <w:tcPr>
            <w:tcW w:w="570" w:type="dxa"/>
          </w:tcPr>
          <w:p w:rsidR="009F5C7D" w:rsidRPr="00520884"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520884" w:rsidRDefault="009F5C7D"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Prioritetas</w:t>
            </w:r>
          </w:p>
        </w:tc>
        <w:tc>
          <w:tcPr>
            <w:tcW w:w="12181" w:type="dxa"/>
          </w:tcPr>
          <w:p w:rsidR="009F5C7D" w:rsidRPr="00520884" w:rsidRDefault="00846A09" w:rsidP="00CF1A77">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lang w:bidi="he-IL"/>
              </w:rPr>
              <w:t>Naujų atvirų jaunimo centrų ir jaunimo erdvių paslaugų plėtra</w:t>
            </w:r>
          </w:p>
        </w:tc>
      </w:tr>
      <w:tr w:rsidR="00520884" w:rsidRPr="00520884" w:rsidTr="0009564E">
        <w:tc>
          <w:tcPr>
            <w:tcW w:w="570" w:type="dxa"/>
          </w:tcPr>
          <w:p w:rsidR="00410244" w:rsidRPr="00520884"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520884" w:rsidRDefault="006D29A7" w:rsidP="006D29A7">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F</w:t>
            </w:r>
            <w:r w:rsidR="00410244" w:rsidRPr="00520884">
              <w:rPr>
                <w:rFonts w:ascii="Times New Roman" w:hAnsi="Times New Roman" w:cs="Times New Roman"/>
                <w:sz w:val="24"/>
                <w:szCs w:val="24"/>
              </w:rPr>
              <w:t>inansuojamos veiklos</w:t>
            </w:r>
          </w:p>
        </w:tc>
        <w:tc>
          <w:tcPr>
            <w:tcW w:w="12181" w:type="dxa"/>
          </w:tcPr>
          <w:p w:rsidR="00846A09" w:rsidRPr="00520884" w:rsidRDefault="00846A09" w:rsidP="00846A09">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rPr>
              <w:t xml:space="preserve">Atvirųjų jaunimo centrų ir (ar) erdvių veiklos, kurias įgyvendinant vykdomas atvirasis darbas su jaunimu: </w:t>
            </w:r>
          </w:p>
          <w:p w:rsidR="00846A09" w:rsidRPr="00520884" w:rsidRDefault="00846A09" w:rsidP="00846A09">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rPr>
              <w:t xml:space="preserve">jaunimo užimtumo, socialinės atskirties mažinimo, socialinių įgūdžių ugdymo skatinimas; </w:t>
            </w:r>
          </w:p>
          <w:p w:rsidR="00846A09" w:rsidRPr="00520884" w:rsidRDefault="00846A09" w:rsidP="00846A09">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rPr>
              <w:t xml:space="preserve">saugaus laisvalaikio leidimo ir prasmingos ugdymo (-si) veiklos galimybių suteikimas jauniems žmonėms, sunkiai randantiems ir (ar) nerandantiems savirealizacijos erdvės; </w:t>
            </w:r>
          </w:p>
          <w:p w:rsidR="00410244" w:rsidRPr="00520884" w:rsidRDefault="00846A09" w:rsidP="009876DC">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rPr>
              <w:t xml:space="preserve">jaunimo konsultavimo, informavimo, tarpininkavimo ir </w:t>
            </w:r>
            <w:r w:rsidR="009876DC" w:rsidRPr="00520884">
              <w:rPr>
                <w:rFonts w:ascii="Times New Roman" w:hAnsi="Times New Roman" w:cs="Times New Roman"/>
                <w:sz w:val="24"/>
                <w:szCs w:val="24"/>
              </w:rPr>
              <w:t>siuntimo</w:t>
            </w:r>
            <w:r w:rsidRPr="00520884">
              <w:rPr>
                <w:rFonts w:ascii="Times New Roman" w:hAnsi="Times New Roman" w:cs="Times New Roman"/>
                <w:sz w:val="24"/>
                <w:szCs w:val="24"/>
              </w:rPr>
              <w:t xml:space="preserve"> pas specialistus, teikiančius paslaugas jaunimui</w:t>
            </w:r>
            <w:r w:rsidR="009876DC" w:rsidRPr="00520884">
              <w:rPr>
                <w:rFonts w:ascii="Times New Roman" w:hAnsi="Times New Roman" w:cs="Times New Roman"/>
                <w:sz w:val="24"/>
                <w:szCs w:val="24"/>
              </w:rPr>
              <w:t>,</w:t>
            </w:r>
            <w:r w:rsidRPr="00520884">
              <w:rPr>
                <w:rFonts w:ascii="Times New Roman" w:hAnsi="Times New Roman" w:cs="Times New Roman"/>
                <w:sz w:val="24"/>
                <w:szCs w:val="24"/>
              </w:rPr>
              <w:t xml:space="preserve"> galimybių sudarymas</w:t>
            </w:r>
          </w:p>
        </w:tc>
      </w:tr>
      <w:tr w:rsidR="00520884" w:rsidRPr="00520884" w:rsidTr="0009564E">
        <w:tc>
          <w:tcPr>
            <w:tcW w:w="570" w:type="dxa"/>
          </w:tcPr>
          <w:p w:rsidR="00410244" w:rsidRPr="00520884"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520884" w:rsidRDefault="00410244"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Tinkamos išlaidos</w:t>
            </w:r>
          </w:p>
        </w:tc>
        <w:tc>
          <w:tcPr>
            <w:tcW w:w="12181" w:type="dxa"/>
          </w:tcPr>
          <w:p w:rsidR="00A32F3E" w:rsidRPr="00520884" w:rsidRDefault="00A32F3E" w:rsidP="00313598">
            <w:pPr>
              <w:spacing w:line="360" w:lineRule="auto"/>
              <w:ind w:firstLine="459"/>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D85193" w:rsidRPr="00520884">
              <w:rPr>
                <w:rFonts w:ascii="Times New Roman" w:eastAsia="Calibri" w:hAnsi="Times New Roman" w:cs="Times New Roman"/>
                <w:sz w:val="24"/>
                <w:szCs w:val="24"/>
              </w:rPr>
              <w:t xml:space="preserve">turi sudaryti ne mažiau kaip 75 proc. </w:t>
            </w:r>
            <w:r w:rsidRPr="00520884">
              <w:rPr>
                <w:rFonts w:ascii="Times New Roman" w:eastAsia="Calibri" w:hAnsi="Times New Roman" w:cs="Times New Roman"/>
                <w:sz w:val="24"/>
                <w:szCs w:val="24"/>
              </w:rPr>
              <w:t xml:space="preserve">visų tinkamų </w:t>
            </w:r>
            <w:r w:rsidR="00F171ED" w:rsidRPr="00520884">
              <w:rPr>
                <w:rFonts w:ascii="Times New Roman" w:eastAsia="Calibri" w:hAnsi="Times New Roman" w:cs="Times New Roman"/>
                <w:sz w:val="24"/>
                <w:szCs w:val="24"/>
              </w:rPr>
              <w:t>finansuoti projekto išlaidų</w:t>
            </w:r>
            <w:r w:rsidR="007A5C8A" w:rsidRPr="00520884">
              <w:rPr>
                <w:rFonts w:ascii="Times New Roman" w:eastAsia="Calibri" w:hAnsi="Times New Roman" w:cs="Times New Roman"/>
                <w:sz w:val="24"/>
                <w:szCs w:val="24"/>
              </w:rPr>
              <w:t>.</w:t>
            </w:r>
          </w:p>
          <w:p w:rsidR="00305AC0" w:rsidRPr="00520884" w:rsidRDefault="00305AC0" w:rsidP="00313598">
            <w:pPr>
              <w:spacing w:line="360" w:lineRule="auto"/>
              <w:ind w:firstLine="459"/>
              <w:jc w:val="both"/>
              <w:rPr>
                <w:rFonts w:ascii="Times New Roman" w:eastAsia="Calibri" w:hAnsi="Times New Roman" w:cs="Times New Roman"/>
                <w:sz w:val="24"/>
                <w:szCs w:val="24"/>
              </w:rPr>
            </w:pPr>
          </w:p>
          <w:p w:rsidR="00410244" w:rsidRPr="00520884" w:rsidRDefault="00A32F3E" w:rsidP="00D85193">
            <w:pPr>
              <w:spacing w:line="360" w:lineRule="auto"/>
              <w:ind w:firstLine="459"/>
              <w:jc w:val="both"/>
              <w:rPr>
                <w:rFonts w:ascii="Times New Roman" w:hAnsi="Times New Roman" w:cs="Times New Roman"/>
                <w:sz w:val="24"/>
                <w:szCs w:val="24"/>
              </w:rPr>
            </w:pPr>
            <w:r w:rsidRPr="00520884">
              <w:rPr>
                <w:rFonts w:ascii="Times New Roman" w:eastAsia="Calibri" w:hAnsi="Times New Roman" w:cs="Times New Roman"/>
                <w:sz w:val="24"/>
                <w:szCs w:val="24"/>
              </w:rPr>
              <w:lastRenderedPageBreak/>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520884">
              <w:rPr>
                <w:rFonts w:ascii="Times New Roman" w:eastAsia="Calibri" w:hAnsi="Times New Roman" w:cs="Times New Roman"/>
                <w:sz w:val="24"/>
                <w:szCs w:val="24"/>
              </w:rPr>
              <w:t>amų finansuoti projekto išlaidų</w:t>
            </w:r>
          </w:p>
        </w:tc>
      </w:tr>
      <w:tr w:rsidR="00520884" w:rsidRPr="00520884" w:rsidTr="0009564E">
        <w:tc>
          <w:tcPr>
            <w:tcW w:w="570" w:type="dxa"/>
          </w:tcPr>
          <w:p w:rsidR="00410244" w:rsidRPr="00520884" w:rsidRDefault="00410244" w:rsidP="00410244">
            <w:pPr>
              <w:spacing w:line="360" w:lineRule="auto"/>
              <w:rPr>
                <w:rFonts w:ascii="Times New Roman" w:hAnsi="Times New Roman" w:cs="Times New Roman"/>
                <w:sz w:val="24"/>
                <w:szCs w:val="24"/>
              </w:rPr>
            </w:pPr>
            <w:r w:rsidRPr="00520884">
              <w:rPr>
                <w:rFonts w:ascii="Times New Roman" w:hAnsi="Times New Roman" w:cs="Times New Roman"/>
                <w:sz w:val="24"/>
                <w:szCs w:val="24"/>
              </w:rPr>
              <w:lastRenderedPageBreak/>
              <w:t>5.</w:t>
            </w:r>
          </w:p>
        </w:tc>
        <w:tc>
          <w:tcPr>
            <w:tcW w:w="2241" w:type="dxa"/>
          </w:tcPr>
          <w:p w:rsidR="00410244" w:rsidRPr="00520884" w:rsidRDefault="00410244"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Netinkamos išlaidos</w:t>
            </w:r>
          </w:p>
        </w:tc>
        <w:tc>
          <w:tcPr>
            <w:tcW w:w="12181" w:type="dxa"/>
          </w:tcPr>
          <w:p w:rsidR="00410244" w:rsidRPr="00520884" w:rsidRDefault="00A32F3E" w:rsidP="00A32F3E">
            <w:pPr>
              <w:spacing w:line="360" w:lineRule="auto"/>
              <w:ind w:firstLine="459"/>
              <w:jc w:val="both"/>
              <w:rPr>
                <w:rFonts w:ascii="Times New Roman" w:hAnsi="Times New Roman" w:cs="Times New Roman"/>
                <w:sz w:val="24"/>
                <w:szCs w:val="24"/>
              </w:rPr>
            </w:pPr>
            <w:r w:rsidRPr="00520884">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520884" w:rsidRPr="00520884" w:rsidTr="0009564E">
        <w:tc>
          <w:tcPr>
            <w:tcW w:w="570" w:type="dxa"/>
          </w:tcPr>
          <w:p w:rsidR="00410244" w:rsidRPr="00520884" w:rsidRDefault="001E3EA9" w:rsidP="001E3EA9">
            <w:pPr>
              <w:spacing w:line="360" w:lineRule="auto"/>
              <w:rPr>
                <w:rFonts w:ascii="Times New Roman" w:hAnsi="Times New Roman" w:cs="Times New Roman"/>
                <w:sz w:val="24"/>
                <w:szCs w:val="24"/>
              </w:rPr>
            </w:pPr>
            <w:r w:rsidRPr="00520884">
              <w:rPr>
                <w:rFonts w:ascii="Times New Roman" w:hAnsi="Times New Roman" w:cs="Times New Roman"/>
                <w:sz w:val="24"/>
                <w:szCs w:val="24"/>
              </w:rPr>
              <w:t>6.</w:t>
            </w:r>
          </w:p>
        </w:tc>
        <w:tc>
          <w:tcPr>
            <w:tcW w:w="2241" w:type="dxa"/>
          </w:tcPr>
          <w:p w:rsidR="00410244" w:rsidRPr="00520884" w:rsidRDefault="00410244"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Projektų vertinimo kriterijai ir jų balai</w:t>
            </w:r>
          </w:p>
        </w:tc>
        <w:tc>
          <w:tcPr>
            <w:tcW w:w="12181" w:type="dxa"/>
          </w:tcPr>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Bendrieji kriterijai:</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projekto tikslų, uždavinių, veiklų ir rezultatų atitiktis prioritetui: 0−1</w:t>
            </w:r>
            <w:r w:rsidR="00305AC0" w:rsidRPr="00520884">
              <w:rPr>
                <w:rFonts w:ascii="Times New Roman" w:eastAsia="Calibri" w:hAnsi="Times New Roman" w:cs="Times New Roman"/>
                <w:sz w:val="24"/>
                <w:szCs w:val="24"/>
              </w:rPr>
              <w:t>0</w:t>
            </w:r>
            <w:r w:rsidRPr="00520884">
              <w:rPr>
                <w:rFonts w:ascii="Times New Roman" w:eastAsia="Calibri" w:hAnsi="Times New Roman" w:cs="Times New Roman"/>
                <w:sz w:val="24"/>
                <w:szCs w:val="24"/>
              </w:rPr>
              <w:t xml:space="preserve"> balų; </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projekto loginis pagrindimas: 0−10 balų;</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projektu sprendžiamos problemos aktualumas ir problemos sprendimo strategijos </w:t>
            </w:r>
            <w:proofErr w:type="spellStart"/>
            <w:r w:rsidRPr="00520884">
              <w:rPr>
                <w:rFonts w:ascii="Times New Roman" w:eastAsia="Calibri" w:hAnsi="Times New Roman" w:cs="Times New Roman"/>
                <w:sz w:val="24"/>
                <w:szCs w:val="24"/>
              </w:rPr>
              <w:t>inovatyvumas</w:t>
            </w:r>
            <w:proofErr w:type="spellEnd"/>
            <w:r w:rsidRPr="00520884">
              <w:rPr>
                <w:rFonts w:ascii="Times New Roman" w:eastAsia="Calibri" w:hAnsi="Times New Roman" w:cs="Times New Roman"/>
                <w:sz w:val="24"/>
                <w:szCs w:val="24"/>
              </w:rPr>
              <w:t xml:space="preserve"> (naujumas): 0−1</w:t>
            </w:r>
            <w:r w:rsidR="00305AC0" w:rsidRPr="00520884">
              <w:rPr>
                <w:rFonts w:ascii="Times New Roman" w:eastAsia="Calibri" w:hAnsi="Times New Roman" w:cs="Times New Roman"/>
                <w:sz w:val="24"/>
                <w:szCs w:val="24"/>
              </w:rPr>
              <w:t>0</w:t>
            </w:r>
            <w:r w:rsidRPr="00520884">
              <w:rPr>
                <w:rFonts w:ascii="Times New Roman" w:eastAsia="Calibri" w:hAnsi="Times New Roman" w:cs="Times New Roman"/>
                <w:sz w:val="24"/>
                <w:szCs w:val="24"/>
              </w:rPr>
              <w:t xml:space="preserve"> balų;</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projekto rezultatų prieinamumas ir jų poveikis visuomenei: 0−10 balų;</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projekto biudžeto pagrįstumas: 0−10 balų;  </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žmogiškųjų, materialiųjų ir kitų išteklių pagrįstumas: 0−10 balų;</w:t>
            </w:r>
          </w:p>
          <w:p w:rsidR="009C3AAF"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tinkama partnerystė ir bendradarbiavimo metu sukurta pridėtinė vertė: </w:t>
            </w:r>
            <w:r w:rsidR="009C3AAF" w:rsidRPr="00520884">
              <w:rPr>
                <w:rFonts w:ascii="Times New Roman" w:eastAsia="Calibri" w:hAnsi="Times New Roman" w:cs="Times New Roman"/>
                <w:sz w:val="24"/>
                <w:szCs w:val="24"/>
              </w:rPr>
              <w:t>0−1</w:t>
            </w:r>
            <w:r w:rsidR="00305AC0" w:rsidRPr="00520884">
              <w:rPr>
                <w:rFonts w:ascii="Times New Roman" w:eastAsia="Calibri" w:hAnsi="Times New Roman" w:cs="Times New Roman"/>
                <w:sz w:val="24"/>
                <w:szCs w:val="24"/>
              </w:rPr>
              <w:t>0</w:t>
            </w:r>
            <w:r w:rsidR="009C3AAF" w:rsidRPr="00520884">
              <w:rPr>
                <w:rFonts w:ascii="Times New Roman" w:eastAsia="Calibri" w:hAnsi="Times New Roman" w:cs="Times New Roman"/>
                <w:sz w:val="24"/>
                <w:szCs w:val="24"/>
              </w:rPr>
              <w:t xml:space="preserve"> balų;</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projekto tęstinumo užtikrinimas: 0−</w:t>
            </w:r>
            <w:r w:rsidR="0009564E" w:rsidRPr="00520884">
              <w:rPr>
                <w:rFonts w:ascii="Times New Roman" w:eastAsia="Calibri" w:hAnsi="Times New Roman" w:cs="Times New Roman"/>
                <w:sz w:val="24"/>
                <w:szCs w:val="24"/>
              </w:rPr>
              <w:t>10</w:t>
            </w:r>
            <w:r w:rsidRPr="00520884">
              <w:rPr>
                <w:rFonts w:ascii="Times New Roman" w:eastAsia="Calibri" w:hAnsi="Times New Roman" w:cs="Times New Roman"/>
                <w:sz w:val="24"/>
                <w:szCs w:val="24"/>
              </w:rPr>
              <w:t xml:space="preserve"> bal</w:t>
            </w:r>
            <w:r w:rsidR="009876DC" w:rsidRPr="00520884">
              <w:rPr>
                <w:rFonts w:ascii="Times New Roman" w:eastAsia="Calibri" w:hAnsi="Times New Roman" w:cs="Times New Roman"/>
                <w:sz w:val="24"/>
                <w:szCs w:val="24"/>
              </w:rPr>
              <w:t>ų</w:t>
            </w:r>
            <w:r w:rsidRPr="00520884">
              <w:rPr>
                <w:rFonts w:ascii="Times New Roman" w:eastAsia="Calibri" w:hAnsi="Times New Roman" w:cs="Times New Roman"/>
                <w:sz w:val="24"/>
                <w:szCs w:val="24"/>
              </w:rPr>
              <w:t>;</w:t>
            </w:r>
          </w:p>
          <w:p w:rsidR="00772543" w:rsidRPr="00520884" w:rsidRDefault="00772543" w:rsidP="00CF1A77">
            <w:pPr>
              <w:spacing w:line="360" w:lineRule="auto"/>
              <w:ind w:firstLine="450"/>
              <w:rPr>
                <w:rFonts w:ascii="Times New Roman" w:eastAsia="Calibri" w:hAnsi="Times New Roman" w:cs="Times New Roman"/>
                <w:sz w:val="24"/>
                <w:szCs w:val="24"/>
              </w:rPr>
            </w:pPr>
            <w:r w:rsidRPr="00520884">
              <w:rPr>
                <w:rFonts w:ascii="Times New Roman" w:eastAsia="Calibri" w:hAnsi="Times New Roman" w:cs="Times New Roman"/>
                <w:sz w:val="24"/>
                <w:szCs w:val="24"/>
              </w:rPr>
              <w:t>visuomenės informavimo apie projektą veiksmingumas: 0−</w:t>
            </w:r>
            <w:r w:rsidR="00305AC0" w:rsidRPr="00520884">
              <w:rPr>
                <w:rFonts w:ascii="Times New Roman" w:eastAsia="Calibri" w:hAnsi="Times New Roman" w:cs="Times New Roman"/>
                <w:sz w:val="24"/>
                <w:szCs w:val="24"/>
              </w:rPr>
              <w:t>10</w:t>
            </w:r>
            <w:r w:rsidRPr="00520884">
              <w:rPr>
                <w:rFonts w:ascii="Times New Roman" w:eastAsia="Calibri" w:hAnsi="Times New Roman" w:cs="Times New Roman"/>
                <w:sz w:val="24"/>
                <w:szCs w:val="24"/>
              </w:rPr>
              <w:t xml:space="preserve"> bal</w:t>
            </w:r>
            <w:r w:rsidR="00305AC0" w:rsidRPr="00520884">
              <w:rPr>
                <w:rFonts w:ascii="Times New Roman" w:eastAsia="Calibri" w:hAnsi="Times New Roman" w:cs="Times New Roman"/>
                <w:sz w:val="24"/>
                <w:szCs w:val="24"/>
              </w:rPr>
              <w:t>ų</w:t>
            </w:r>
            <w:r w:rsidRPr="00520884">
              <w:rPr>
                <w:rFonts w:ascii="Times New Roman" w:eastAsia="Calibri" w:hAnsi="Times New Roman" w:cs="Times New Roman"/>
                <w:sz w:val="24"/>
                <w:szCs w:val="24"/>
              </w:rPr>
              <w:t>.</w:t>
            </w:r>
          </w:p>
          <w:p w:rsidR="00305AC0" w:rsidRPr="00520884" w:rsidRDefault="00305AC0" w:rsidP="00305AC0">
            <w:pPr>
              <w:spacing w:line="360" w:lineRule="auto"/>
              <w:ind w:firstLine="450"/>
              <w:contextualSpacing/>
              <w:rPr>
                <w:rFonts w:ascii="Times New Roman" w:hAnsi="Times New Roman" w:cs="Times New Roman"/>
                <w:sz w:val="24"/>
                <w:szCs w:val="24"/>
              </w:rPr>
            </w:pPr>
          </w:p>
          <w:p w:rsidR="00305AC0" w:rsidRPr="00520884" w:rsidRDefault="00305AC0" w:rsidP="00305AC0">
            <w:pPr>
              <w:spacing w:line="360" w:lineRule="auto"/>
              <w:ind w:firstLine="450"/>
              <w:contextualSpacing/>
              <w:rPr>
                <w:rFonts w:ascii="Times New Roman" w:hAnsi="Times New Roman" w:cs="Times New Roman"/>
                <w:sz w:val="24"/>
                <w:szCs w:val="24"/>
              </w:rPr>
            </w:pPr>
          </w:p>
          <w:p w:rsidR="00305AC0" w:rsidRPr="00520884" w:rsidRDefault="00305AC0" w:rsidP="00305AC0">
            <w:pPr>
              <w:spacing w:line="360" w:lineRule="auto"/>
              <w:ind w:firstLine="450"/>
              <w:contextualSpacing/>
              <w:rPr>
                <w:rFonts w:ascii="Times New Roman" w:hAnsi="Times New Roman" w:cs="Times New Roman"/>
                <w:sz w:val="24"/>
                <w:szCs w:val="24"/>
              </w:rPr>
            </w:pPr>
            <w:r w:rsidRPr="00520884">
              <w:rPr>
                <w:rFonts w:ascii="Times New Roman" w:hAnsi="Times New Roman" w:cs="Times New Roman"/>
                <w:sz w:val="24"/>
                <w:szCs w:val="24"/>
              </w:rPr>
              <w:lastRenderedPageBreak/>
              <w:t>Specialieji kriterijai:</w:t>
            </w:r>
          </w:p>
          <w:p w:rsidR="00305AC0" w:rsidRPr="00520884" w:rsidRDefault="00305AC0" w:rsidP="00305AC0">
            <w:pPr>
              <w:spacing w:line="360" w:lineRule="auto"/>
              <w:ind w:firstLine="450"/>
              <w:contextualSpacing/>
              <w:rPr>
                <w:rFonts w:ascii="Times New Roman" w:hAnsi="Times New Roman" w:cs="Times New Roman"/>
                <w:sz w:val="24"/>
                <w:szCs w:val="24"/>
              </w:rPr>
            </w:pPr>
            <w:r w:rsidRPr="00520884">
              <w:rPr>
                <w:rFonts w:ascii="Times New Roman" w:hAnsi="Times New Roman" w:cs="Times New Roman"/>
                <w:sz w:val="24"/>
                <w:szCs w:val="24"/>
              </w:rPr>
              <w:t>savanorių įtraukimas į projekto veiklų vykdymą: 0</w:t>
            </w:r>
            <w:r w:rsidR="00393920" w:rsidRPr="00520884">
              <w:rPr>
                <w:rFonts w:ascii="Times New Roman" w:hAnsi="Times New Roman" w:cs="Times New Roman"/>
                <w:sz w:val="24"/>
                <w:szCs w:val="24"/>
              </w:rPr>
              <w:t>−</w:t>
            </w:r>
            <w:r w:rsidRPr="00520884">
              <w:rPr>
                <w:rFonts w:ascii="Times New Roman" w:hAnsi="Times New Roman" w:cs="Times New Roman"/>
                <w:sz w:val="24"/>
                <w:szCs w:val="24"/>
              </w:rPr>
              <w:t>5 bal</w:t>
            </w:r>
            <w:r w:rsidR="00393920" w:rsidRPr="00520884">
              <w:rPr>
                <w:rFonts w:ascii="Times New Roman" w:hAnsi="Times New Roman" w:cs="Times New Roman"/>
                <w:sz w:val="24"/>
                <w:szCs w:val="24"/>
              </w:rPr>
              <w:t>ai</w:t>
            </w:r>
            <w:r w:rsidRPr="00520884">
              <w:rPr>
                <w:rFonts w:ascii="Times New Roman" w:hAnsi="Times New Roman" w:cs="Times New Roman"/>
                <w:sz w:val="24"/>
                <w:szCs w:val="24"/>
              </w:rPr>
              <w:t>;</w:t>
            </w:r>
          </w:p>
          <w:p w:rsidR="00305AC0" w:rsidRPr="00520884" w:rsidRDefault="00305AC0" w:rsidP="00393920">
            <w:pPr>
              <w:spacing w:line="360" w:lineRule="auto"/>
              <w:ind w:firstLine="450"/>
              <w:contextualSpacing/>
              <w:rPr>
                <w:rFonts w:ascii="Times New Roman" w:hAnsi="Times New Roman" w:cs="Times New Roman"/>
                <w:sz w:val="24"/>
                <w:szCs w:val="24"/>
              </w:rPr>
            </w:pPr>
            <w:r w:rsidRPr="00520884">
              <w:rPr>
                <w:rFonts w:ascii="Times New Roman" w:hAnsi="Times New Roman" w:cs="Times New Roman"/>
                <w:sz w:val="24"/>
                <w:szCs w:val="24"/>
              </w:rPr>
              <w:t>projekto veiklų įgyvendinimas numatytas bendradarbiaujant su ne mažiau kaip 2 jaunimo ir (ar) su jaunimu dirbančiomis organizacijomis: 0</w:t>
            </w:r>
            <w:r w:rsidR="00393920" w:rsidRPr="00520884">
              <w:rPr>
                <w:rFonts w:ascii="Times New Roman" w:hAnsi="Times New Roman" w:cs="Times New Roman"/>
                <w:sz w:val="24"/>
                <w:szCs w:val="24"/>
              </w:rPr>
              <w:t>−</w:t>
            </w:r>
            <w:r w:rsidRPr="00520884">
              <w:rPr>
                <w:rFonts w:ascii="Times New Roman" w:hAnsi="Times New Roman" w:cs="Times New Roman"/>
                <w:sz w:val="24"/>
                <w:szCs w:val="24"/>
              </w:rPr>
              <w:t>5 bal</w:t>
            </w:r>
            <w:r w:rsidR="00393920" w:rsidRPr="00520884">
              <w:rPr>
                <w:rFonts w:ascii="Times New Roman" w:hAnsi="Times New Roman" w:cs="Times New Roman"/>
                <w:sz w:val="24"/>
                <w:szCs w:val="24"/>
              </w:rPr>
              <w:t>ai</w:t>
            </w:r>
          </w:p>
        </w:tc>
      </w:tr>
      <w:tr w:rsidR="00520884" w:rsidRPr="00520884" w:rsidTr="0009564E">
        <w:trPr>
          <w:trHeight w:val="841"/>
        </w:trPr>
        <w:tc>
          <w:tcPr>
            <w:tcW w:w="570" w:type="dxa"/>
          </w:tcPr>
          <w:p w:rsidR="001E3EA9" w:rsidRPr="00520884" w:rsidRDefault="001E3EA9" w:rsidP="001E3EA9">
            <w:pPr>
              <w:spacing w:line="360" w:lineRule="auto"/>
              <w:jc w:val="both"/>
              <w:rPr>
                <w:rFonts w:ascii="Times New Roman" w:hAnsi="Times New Roman" w:cs="Times New Roman"/>
                <w:sz w:val="24"/>
                <w:szCs w:val="24"/>
              </w:rPr>
            </w:pPr>
            <w:r w:rsidRPr="00520884">
              <w:rPr>
                <w:rFonts w:ascii="Times New Roman" w:hAnsi="Times New Roman" w:cs="Times New Roman"/>
                <w:sz w:val="24"/>
                <w:szCs w:val="24"/>
              </w:rPr>
              <w:lastRenderedPageBreak/>
              <w:t xml:space="preserve">7. </w:t>
            </w:r>
          </w:p>
        </w:tc>
        <w:tc>
          <w:tcPr>
            <w:tcW w:w="2241" w:type="dxa"/>
          </w:tcPr>
          <w:p w:rsidR="001E3EA9" w:rsidRPr="00520884" w:rsidRDefault="001E3EA9" w:rsidP="001E3EA9">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Galimi pareiškėjai ir reikalavimai jiems</w:t>
            </w:r>
          </w:p>
        </w:tc>
        <w:tc>
          <w:tcPr>
            <w:tcW w:w="12181" w:type="dxa"/>
          </w:tcPr>
          <w:p w:rsidR="00127E67" w:rsidRPr="00520884" w:rsidRDefault="00155F22" w:rsidP="00CF1A77">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Pareiškėju gali būti jaunimo ir (ar) su jaunimu dirbančios organizacijos, įregistruot</w:t>
            </w:r>
            <w:r w:rsidR="000A5C54" w:rsidRPr="00520884">
              <w:rPr>
                <w:rFonts w:ascii="Times New Roman" w:eastAsia="Calibri" w:hAnsi="Times New Roman" w:cs="Times New Roman"/>
                <w:sz w:val="24"/>
                <w:szCs w:val="24"/>
              </w:rPr>
              <w:t>o</w:t>
            </w:r>
            <w:r w:rsidRPr="00520884">
              <w:rPr>
                <w:rFonts w:ascii="Times New Roman" w:eastAsia="Calibri" w:hAnsi="Times New Roman" w:cs="Times New Roman"/>
                <w:sz w:val="24"/>
                <w:szCs w:val="24"/>
              </w:rPr>
              <w:t>s ar pagrindinę veiklą vykdan</w:t>
            </w:r>
            <w:r w:rsidR="00067C67" w:rsidRPr="00520884">
              <w:rPr>
                <w:rFonts w:ascii="Times New Roman" w:eastAsia="Calibri" w:hAnsi="Times New Roman" w:cs="Times New Roman"/>
                <w:sz w:val="24"/>
                <w:szCs w:val="24"/>
              </w:rPr>
              <w:t>čios</w:t>
            </w:r>
            <w:r w:rsidRPr="00520884">
              <w:rPr>
                <w:rFonts w:ascii="Times New Roman" w:eastAsia="Calibri" w:hAnsi="Times New Roman" w:cs="Times New Roman"/>
                <w:sz w:val="24"/>
                <w:szCs w:val="24"/>
              </w:rPr>
              <w:t xml:space="preserve"> Kauno mieste. </w:t>
            </w:r>
          </w:p>
          <w:p w:rsidR="0009564E" w:rsidRPr="00520884" w:rsidRDefault="0009564E" w:rsidP="00CF1A77">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520884" w:rsidRDefault="0009564E" w:rsidP="00CF1A77">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Pareiškėjo projektas nefinansuojamas, jeigu paaiškėja, kad:</w:t>
            </w:r>
          </w:p>
          <w:p w:rsidR="0009564E" w:rsidRPr="00520884"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pareiškėjas yra likviduojamas, reorganizuojamas, pertvarkomas, sustabdęs ar apribojęs savo veiklą;</w:t>
            </w:r>
          </w:p>
          <w:p w:rsidR="0009564E" w:rsidRPr="00520884"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pareiškėjas paraiškoje pateikė klaidinančią arba melagingą informaciją;</w:t>
            </w:r>
          </w:p>
          <w:p w:rsidR="0009564E" w:rsidRPr="00520884"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520884">
              <w:rPr>
                <w:rFonts w:ascii="Times New Roman" w:eastAsia="Calibri" w:hAnsi="Times New Roman" w:cs="Times New Roman"/>
                <w:sz w:val="24"/>
                <w:szCs w:val="24"/>
              </w:rPr>
              <w:t>;</w:t>
            </w:r>
          </w:p>
          <w:p w:rsidR="0009564E" w:rsidRPr="00520884"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520884">
              <w:rPr>
                <w:rFonts w:ascii="Times New Roman" w:eastAsia="Calibri" w:hAnsi="Times New Roman" w:cs="Times New Roman"/>
                <w:sz w:val="24"/>
                <w:szCs w:val="24"/>
              </w:rPr>
              <w:t>.</w:t>
            </w:r>
            <w:r w:rsidRPr="00520884">
              <w:rPr>
                <w:rFonts w:ascii="Times New Roman" w:eastAsia="Calibri" w:hAnsi="Times New Roman" w:cs="Times New Roman"/>
                <w:sz w:val="24"/>
                <w:szCs w:val="24"/>
              </w:rPr>
              <w:t xml:space="preserve"> </w:t>
            </w:r>
          </w:p>
          <w:p w:rsidR="001E3EA9" w:rsidRPr="00520884" w:rsidRDefault="006D29A7" w:rsidP="00CF1A77">
            <w:pPr>
              <w:spacing w:line="360" w:lineRule="auto"/>
              <w:ind w:firstLine="450"/>
              <w:contextualSpacing/>
              <w:jc w:val="both"/>
              <w:rPr>
                <w:rFonts w:ascii="Times New Roman" w:hAnsi="Times New Roman" w:cs="Times New Roman"/>
                <w:sz w:val="24"/>
                <w:szCs w:val="24"/>
              </w:rPr>
            </w:pPr>
            <w:r w:rsidRPr="00520884">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520884">
              <w:rPr>
                <w:rFonts w:ascii="Times New Roman" w:eastAsia="Calibri" w:hAnsi="Times New Roman" w:cs="Times New Roman"/>
                <w:sz w:val="24"/>
                <w:szCs w:val="24"/>
              </w:rPr>
              <w:t>iams</w:t>
            </w:r>
            <w:proofErr w:type="spellEnd"/>
            <w:r w:rsidRPr="00520884">
              <w:rPr>
                <w:rFonts w:ascii="Times New Roman" w:eastAsia="Calibri" w:hAnsi="Times New Roman" w:cs="Times New Roman"/>
                <w:sz w:val="24"/>
                <w:szCs w:val="24"/>
              </w:rPr>
              <w:t>)</w:t>
            </w:r>
          </w:p>
        </w:tc>
      </w:tr>
      <w:tr w:rsidR="00520884" w:rsidRPr="00520884" w:rsidTr="0009564E">
        <w:tc>
          <w:tcPr>
            <w:tcW w:w="570" w:type="dxa"/>
          </w:tcPr>
          <w:p w:rsidR="00410244" w:rsidRPr="00520884" w:rsidRDefault="001E3EA9" w:rsidP="001E3EA9">
            <w:pPr>
              <w:spacing w:line="360" w:lineRule="auto"/>
              <w:rPr>
                <w:rFonts w:ascii="Times New Roman" w:hAnsi="Times New Roman" w:cs="Times New Roman"/>
                <w:sz w:val="24"/>
                <w:szCs w:val="24"/>
              </w:rPr>
            </w:pPr>
            <w:r w:rsidRPr="00520884">
              <w:rPr>
                <w:rFonts w:ascii="Times New Roman" w:hAnsi="Times New Roman" w:cs="Times New Roman"/>
                <w:sz w:val="24"/>
                <w:szCs w:val="24"/>
              </w:rPr>
              <w:t>8.</w:t>
            </w:r>
          </w:p>
        </w:tc>
        <w:tc>
          <w:tcPr>
            <w:tcW w:w="2241" w:type="dxa"/>
          </w:tcPr>
          <w:p w:rsidR="00410244" w:rsidRPr="00520884" w:rsidRDefault="00410244" w:rsidP="00410244">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Finansavimo intensyvumas</w:t>
            </w:r>
          </w:p>
        </w:tc>
        <w:tc>
          <w:tcPr>
            <w:tcW w:w="12181" w:type="dxa"/>
          </w:tcPr>
          <w:p w:rsidR="001E3EA9" w:rsidRPr="00520884" w:rsidRDefault="001E3EA9" w:rsidP="00CF1A77">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rPr>
              <w:t xml:space="preserve">Projektams įgyvendinti </w:t>
            </w:r>
            <w:r w:rsidR="00B62F67" w:rsidRPr="00520884">
              <w:rPr>
                <w:rFonts w:ascii="Times New Roman" w:hAnsi="Times New Roman" w:cs="Times New Roman"/>
                <w:sz w:val="24"/>
                <w:szCs w:val="24"/>
              </w:rPr>
              <w:t>iš Kauno miesto s</w:t>
            </w:r>
            <w:r w:rsidRPr="00520884">
              <w:rPr>
                <w:rFonts w:ascii="Times New Roman" w:hAnsi="Times New Roman" w:cs="Times New Roman"/>
                <w:sz w:val="24"/>
                <w:szCs w:val="24"/>
              </w:rPr>
              <w:t>avivaldybės biudžeto gali būti skiriam</w:t>
            </w:r>
            <w:r w:rsidR="00B62F67" w:rsidRPr="00520884">
              <w:rPr>
                <w:rFonts w:ascii="Times New Roman" w:hAnsi="Times New Roman" w:cs="Times New Roman"/>
                <w:sz w:val="24"/>
                <w:szCs w:val="24"/>
              </w:rPr>
              <w:t>a</w:t>
            </w:r>
            <w:r w:rsidRPr="00520884">
              <w:rPr>
                <w:rFonts w:ascii="Times New Roman" w:hAnsi="Times New Roman" w:cs="Times New Roman"/>
                <w:sz w:val="24"/>
                <w:szCs w:val="24"/>
              </w:rPr>
              <w:t xml:space="preserve"> iki 80 proc. tinkamų </w:t>
            </w:r>
            <w:r w:rsidR="00B62F67" w:rsidRPr="00520884">
              <w:rPr>
                <w:rFonts w:ascii="Times New Roman" w:hAnsi="Times New Roman" w:cs="Times New Roman"/>
                <w:sz w:val="24"/>
                <w:szCs w:val="24"/>
              </w:rPr>
              <w:t xml:space="preserve">finansuoti projekto </w:t>
            </w:r>
            <w:r w:rsidRPr="00520884">
              <w:rPr>
                <w:rFonts w:ascii="Times New Roman" w:hAnsi="Times New Roman" w:cs="Times New Roman"/>
                <w:sz w:val="24"/>
                <w:szCs w:val="24"/>
              </w:rPr>
              <w:t xml:space="preserve">išlaidų. </w:t>
            </w:r>
          </w:p>
          <w:p w:rsidR="00410244" w:rsidRPr="00520884" w:rsidRDefault="00476108" w:rsidP="00476108">
            <w:pPr>
              <w:spacing w:line="360" w:lineRule="auto"/>
              <w:ind w:firstLine="450"/>
              <w:contextualSpacing/>
              <w:jc w:val="both"/>
              <w:rPr>
                <w:rFonts w:ascii="Times New Roman" w:hAnsi="Times New Roman" w:cs="Times New Roman"/>
                <w:sz w:val="24"/>
                <w:szCs w:val="24"/>
              </w:rPr>
            </w:pPr>
            <w:r w:rsidRPr="00520884">
              <w:rPr>
                <w:rFonts w:ascii="Times New Roman" w:hAnsi="Times New Roman" w:cs="Times New Roman"/>
                <w:sz w:val="24"/>
                <w:szCs w:val="24"/>
              </w:rPr>
              <w:t>Minimali</w:t>
            </w:r>
            <w:r w:rsidR="00DC7F75" w:rsidRPr="00520884">
              <w:rPr>
                <w:rFonts w:ascii="Times New Roman" w:hAnsi="Times New Roman" w:cs="Times New Roman"/>
                <w:sz w:val="24"/>
                <w:szCs w:val="24"/>
              </w:rPr>
              <w:t xml:space="preserve"> projekto vertė – </w:t>
            </w:r>
            <w:r w:rsidRPr="00520884">
              <w:rPr>
                <w:rFonts w:ascii="Times New Roman" w:hAnsi="Times New Roman" w:cs="Times New Roman"/>
                <w:sz w:val="24"/>
                <w:szCs w:val="24"/>
              </w:rPr>
              <w:t>2,5</w:t>
            </w:r>
            <w:r w:rsidR="00DC7F75" w:rsidRPr="00520884">
              <w:rPr>
                <w:rFonts w:ascii="Times New Roman" w:hAnsi="Times New Roman" w:cs="Times New Roman"/>
                <w:sz w:val="24"/>
                <w:szCs w:val="24"/>
              </w:rPr>
              <w:t xml:space="preserve"> tūkst. </w:t>
            </w:r>
            <w:proofErr w:type="spellStart"/>
            <w:r w:rsidR="00DC7F75" w:rsidRPr="00520884">
              <w:rPr>
                <w:rFonts w:ascii="Times New Roman" w:hAnsi="Times New Roman" w:cs="Times New Roman"/>
                <w:sz w:val="24"/>
                <w:szCs w:val="24"/>
              </w:rPr>
              <w:t>Eur</w:t>
            </w:r>
            <w:proofErr w:type="spellEnd"/>
          </w:p>
        </w:tc>
      </w:tr>
      <w:tr w:rsidR="00520884" w:rsidRPr="00520884" w:rsidTr="0009564E">
        <w:tc>
          <w:tcPr>
            <w:tcW w:w="570" w:type="dxa"/>
          </w:tcPr>
          <w:p w:rsidR="001E3EA9" w:rsidRPr="00520884" w:rsidRDefault="001E3EA9" w:rsidP="001E3EA9">
            <w:pPr>
              <w:spacing w:line="360" w:lineRule="auto"/>
              <w:contextualSpacing/>
              <w:rPr>
                <w:rFonts w:ascii="Times New Roman" w:eastAsia="Calibri" w:hAnsi="Times New Roman" w:cs="Times New Roman"/>
                <w:sz w:val="24"/>
                <w:szCs w:val="24"/>
              </w:rPr>
            </w:pPr>
            <w:r w:rsidRPr="00520884">
              <w:rPr>
                <w:rFonts w:ascii="Times New Roman" w:eastAsia="Calibri" w:hAnsi="Times New Roman" w:cs="Times New Roman"/>
                <w:sz w:val="24"/>
                <w:szCs w:val="24"/>
              </w:rPr>
              <w:t>9.</w:t>
            </w:r>
          </w:p>
        </w:tc>
        <w:tc>
          <w:tcPr>
            <w:tcW w:w="2241" w:type="dxa"/>
          </w:tcPr>
          <w:p w:rsidR="001E3EA9" w:rsidRPr="00520884" w:rsidRDefault="001E3EA9" w:rsidP="001E3EA9">
            <w:pPr>
              <w:spacing w:line="360" w:lineRule="auto"/>
              <w:contextualSpacing/>
              <w:rPr>
                <w:rFonts w:ascii="Times New Roman" w:eastAsia="Calibri" w:hAnsi="Times New Roman" w:cs="Times New Roman"/>
                <w:sz w:val="24"/>
                <w:szCs w:val="24"/>
              </w:rPr>
            </w:pPr>
            <w:r w:rsidRPr="00520884">
              <w:rPr>
                <w:rFonts w:ascii="Times New Roman" w:eastAsia="Calibri" w:hAnsi="Times New Roman" w:cs="Times New Roman"/>
                <w:sz w:val="24"/>
                <w:szCs w:val="24"/>
              </w:rPr>
              <w:t>Paraiškų teikimo tvarka</w:t>
            </w:r>
          </w:p>
        </w:tc>
        <w:tc>
          <w:tcPr>
            <w:tcW w:w="12181" w:type="dxa"/>
          </w:tcPr>
          <w:p w:rsidR="0009564E" w:rsidRPr="00520884" w:rsidRDefault="0009564E" w:rsidP="00313598">
            <w:pPr>
              <w:spacing w:line="360" w:lineRule="auto"/>
              <w:ind w:firstLine="459"/>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520884" w:rsidRDefault="0009564E" w:rsidP="00313598">
            <w:pPr>
              <w:spacing w:line="360" w:lineRule="auto"/>
              <w:ind w:firstLine="459"/>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Jei teikiama popierinė paraiška, turi būti pateikiamas vienas tinkamai lietuvių kalba užpildytas paraiškos popierinis variantas ir užpildyta paraiškos forma kompiuterinėje laikmenoje. Pateikiami dokumentai turi būti A4 formato, išskyrus </w:t>
            </w:r>
            <w:r w:rsidRPr="00520884">
              <w:rPr>
                <w:rFonts w:ascii="Times New Roman" w:eastAsia="Calibri" w:hAnsi="Times New Roman" w:cs="Times New Roman"/>
                <w:sz w:val="24"/>
                <w:szCs w:val="24"/>
              </w:rPr>
              <w:lastRenderedPageBreak/>
              <w:t>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520884" w:rsidRDefault="0009564E" w:rsidP="00313598">
            <w:pPr>
              <w:spacing w:line="360" w:lineRule="auto"/>
              <w:ind w:firstLine="459"/>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520884">
                <w:rPr>
                  <w:rFonts w:ascii="Times New Roman" w:eastAsia="Calibri" w:hAnsi="Times New Roman" w:cs="Times New Roman"/>
                  <w:sz w:val="24"/>
                  <w:szCs w:val="24"/>
                </w:rPr>
                <w:t>http://ep.kaunas.lt</w:t>
              </w:r>
            </w:hyperlink>
            <w:r w:rsidRPr="00520884">
              <w:rPr>
                <w:rFonts w:ascii="Times New Roman" w:eastAsia="Calibri" w:hAnsi="Times New Roman" w:cs="Times New Roman"/>
                <w:sz w:val="24"/>
                <w:szCs w:val="24"/>
              </w:rPr>
              <w:t>.</w:t>
            </w:r>
          </w:p>
          <w:p w:rsidR="0009564E" w:rsidRPr="00520884" w:rsidRDefault="0009564E" w:rsidP="00313598">
            <w:pPr>
              <w:spacing w:line="360" w:lineRule="auto"/>
              <w:ind w:firstLine="459"/>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Paraiška teikiama tik pagal vieną srities prioritetą.</w:t>
            </w:r>
          </w:p>
          <w:p w:rsidR="0009564E" w:rsidRPr="00520884" w:rsidRDefault="0009564E" w:rsidP="00313598">
            <w:pPr>
              <w:spacing w:line="360" w:lineRule="auto"/>
              <w:ind w:firstLine="459"/>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520884" w:rsidRDefault="00E0309E" w:rsidP="00313598">
            <w:pPr>
              <w:spacing w:line="360" w:lineRule="auto"/>
              <w:ind w:firstLine="450"/>
              <w:contextualSpacing/>
              <w:rPr>
                <w:rFonts w:ascii="Times New Roman" w:eastAsia="Calibri" w:hAnsi="Times New Roman" w:cs="Times New Roman"/>
                <w:i/>
                <w:sz w:val="24"/>
                <w:szCs w:val="24"/>
              </w:rPr>
            </w:pPr>
            <w:r w:rsidRPr="00520884">
              <w:rPr>
                <w:rFonts w:ascii="Times New Roman" w:eastAsia="Calibri" w:hAnsi="Times New Roman" w:cs="Times New Roman"/>
                <w:sz w:val="24"/>
                <w:szCs w:val="24"/>
              </w:rPr>
              <w:t>Paraiškos priimamos nuo 2016 m. vasario 29 d.  iki 2016 m. kovo 30 d.</w:t>
            </w:r>
          </w:p>
        </w:tc>
      </w:tr>
      <w:tr w:rsidR="00520884" w:rsidRPr="00520884" w:rsidTr="0009564E">
        <w:tc>
          <w:tcPr>
            <w:tcW w:w="570" w:type="dxa"/>
          </w:tcPr>
          <w:p w:rsidR="001E3EA9" w:rsidRPr="00520884" w:rsidRDefault="001E3EA9" w:rsidP="001E3EA9">
            <w:pPr>
              <w:spacing w:line="360" w:lineRule="auto"/>
              <w:contextualSpacing/>
              <w:rPr>
                <w:rFonts w:ascii="Times New Roman" w:eastAsia="Calibri" w:hAnsi="Times New Roman" w:cs="Times New Roman"/>
                <w:sz w:val="24"/>
                <w:szCs w:val="24"/>
              </w:rPr>
            </w:pPr>
            <w:r w:rsidRPr="00520884">
              <w:rPr>
                <w:rFonts w:ascii="Times New Roman" w:eastAsia="Calibri" w:hAnsi="Times New Roman" w:cs="Times New Roman"/>
                <w:sz w:val="24"/>
                <w:szCs w:val="24"/>
              </w:rPr>
              <w:lastRenderedPageBreak/>
              <w:t>10.</w:t>
            </w:r>
          </w:p>
        </w:tc>
        <w:tc>
          <w:tcPr>
            <w:tcW w:w="2241" w:type="dxa"/>
          </w:tcPr>
          <w:p w:rsidR="001E3EA9" w:rsidRPr="00520884" w:rsidRDefault="001E3EA9" w:rsidP="001E3EA9">
            <w:pPr>
              <w:spacing w:line="360" w:lineRule="auto"/>
              <w:contextualSpacing/>
              <w:rPr>
                <w:rFonts w:ascii="Times New Roman" w:eastAsia="Calibri" w:hAnsi="Times New Roman" w:cs="Times New Roman"/>
                <w:sz w:val="24"/>
                <w:szCs w:val="24"/>
              </w:rPr>
            </w:pPr>
            <w:r w:rsidRPr="00520884">
              <w:rPr>
                <w:rFonts w:ascii="Times New Roman" w:eastAsia="Calibri" w:hAnsi="Times New Roman" w:cs="Times New Roman"/>
                <w:sz w:val="24"/>
                <w:szCs w:val="24"/>
              </w:rPr>
              <w:t>Kitos sąlygos</w:t>
            </w:r>
          </w:p>
        </w:tc>
        <w:tc>
          <w:tcPr>
            <w:tcW w:w="12181" w:type="dxa"/>
          </w:tcPr>
          <w:p w:rsidR="001E3EA9" w:rsidRPr="00520884" w:rsidRDefault="002A39D9" w:rsidP="00CF1A77">
            <w:pPr>
              <w:spacing w:line="360" w:lineRule="auto"/>
              <w:ind w:firstLine="450"/>
              <w:contextualSpacing/>
              <w:jc w:val="both"/>
              <w:rPr>
                <w:rFonts w:ascii="Times New Roman" w:eastAsia="Calibri" w:hAnsi="Times New Roman" w:cs="Times New Roman"/>
                <w:i/>
                <w:sz w:val="24"/>
                <w:szCs w:val="24"/>
              </w:rPr>
            </w:pPr>
            <w:r w:rsidRPr="00520884">
              <w:rPr>
                <w:rFonts w:ascii="Times New Roman" w:eastAsia="Calibri" w:hAnsi="Times New Roman" w:cs="Times New Roman"/>
                <w:sz w:val="24"/>
                <w:szCs w:val="24"/>
              </w:rPr>
              <w:t>P</w:t>
            </w:r>
            <w:r w:rsidR="001E3EA9" w:rsidRPr="00520884">
              <w:rPr>
                <w:rFonts w:ascii="Times New Roman" w:eastAsia="Calibri" w:hAnsi="Times New Roman" w:cs="Times New Roman"/>
                <w:sz w:val="24"/>
                <w:szCs w:val="24"/>
              </w:rPr>
              <w:t xml:space="preserve">rojekto veiklos ir išlaidos turi būti planuojamos nuo </w:t>
            </w:r>
            <w:r w:rsidR="001E3EA9" w:rsidRPr="00520884">
              <w:rPr>
                <w:rFonts w:ascii="Times New Roman" w:eastAsia="Calibri" w:hAnsi="Times New Roman" w:cs="Times New Roman"/>
                <w:sz w:val="24"/>
                <w:szCs w:val="24"/>
                <w:lang w:val="en-US"/>
              </w:rPr>
              <w:t xml:space="preserve">2016 m. </w:t>
            </w:r>
            <w:r w:rsidR="001E3EA9" w:rsidRPr="00520884">
              <w:rPr>
                <w:rFonts w:ascii="Times New Roman" w:eastAsia="Calibri" w:hAnsi="Times New Roman" w:cs="Times New Roman"/>
                <w:sz w:val="24"/>
                <w:szCs w:val="24"/>
              </w:rPr>
              <w:t>antrojo ketvirčio</w:t>
            </w:r>
          </w:p>
        </w:tc>
      </w:tr>
      <w:tr w:rsidR="00520884" w:rsidRPr="00520884" w:rsidTr="0009564E">
        <w:tc>
          <w:tcPr>
            <w:tcW w:w="570" w:type="dxa"/>
          </w:tcPr>
          <w:p w:rsidR="001E3EA9" w:rsidRPr="00520884" w:rsidRDefault="001E3EA9" w:rsidP="001E3EA9">
            <w:pPr>
              <w:spacing w:line="360" w:lineRule="auto"/>
              <w:contextualSpacing/>
              <w:rPr>
                <w:rFonts w:ascii="Times New Roman" w:eastAsia="Calibri" w:hAnsi="Times New Roman" w:cs="Times New Roman"/>
                <w:sz w:val="24"/>
                <w:szCs w:val="24"/>
              </w:rPr>
            </w:pPr>
            <w:r w:rsidRPr="00520884">
              <w:rPr>
                <w:rFonts w:ascii="Times New Roman" w:eastAsia="Calibri" w:hAnsi="Times New Roman" w:cs="Times New Roman"/>
                <w:sz w:val="24"/>
                <w:szCs w:val="24"/>
              </w:rPr>
              <w:t>11.</w:t>
            </w:r>
          </w:p>
        </w:tc>
        <w:tc>
          <w:tcPr>
            <w:tcW w:w="2241" w:type="dxa"/>
          </w:tcPr>
          <w:p w:rsidR="001E3EA9" w:rsidRPr="00520884" w:rsidRDefault="001E3EA9" w:rsidP="001E3EA9">
            <w:pPr>
              <w:spacing w:line="360" w:lineRule="auto"/>
              <w:contextualSpacing/>
              <w:rPr>
                <w:rFonts w:ascii="Times New Roman" w:eastAsia="Calibri" w:hAnsi="Times New Roman" w:cs="Times New Roman"/>
                <w:sz w:val="24"/>
                <w:szCs w:val="24"/>
              </w:rPr>
            </w:pPr>
            <w:r w:rsidRPr="00520884">
              <w:rPr>
                <w:rFonts w:ascii="Times New Roman" w:eastAsia="Calibri" w:hAnsi="Times New Roman" w:cs="Times New Roman"/>
                <w:sz w:val="24"/>
                <w:szCs w:val="24"/>
              </w:rPr>
              <w:t>Aktualūs dokumentai</w:t>
            </w:r>
          </w:p>
        </w:tc>
        <w:tc>
          <w:tcPr>
            <w:tcW w:w="12181" w:type="dxa"/>
          </w:tcPr>
          <w:p w:rsidR="0009564E" w:rsidRPr="00520884" w:rsidRDefault="0009564E" w:rsidP="0009564E">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520884">
              <w:rPr>
                <w:rFonts w:ascii="Times New Roman" w:eastAsia="Calibri" w:hAnsi="Times New Roman" w:cs="Times New Roman"/>
                <w:sz w:val="24"/>
                <w:szCs w:val="24"/>
              </w:rPr>
              <w:t>la</w:t>
            </w:r>
            <w:r w:rsidRPr="00520884">
              <w:rPr>
                <w:rFonts w:ascii="Times New Roman" w:eastAsia="Calibri" w:hAnsi="Times New Roman" w:cs="Times New Roman"/>
                <w:sz w:val="24"/>
                <w:szCs w:val="24"/>
              </w:rPr>
              <w:t>no iki 2022 metų patvirtinimo“;</w:t>
            </w:r>
          </w:p>
          <w:p w:rsidR="0009564E" w:rsidRPr="00520884" w:rsidRDefault="0009564E" w:rsidP="0009564E">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520884" w:rsidRDefault="0009564E" w:rsidP="0009564E">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520884" w:rsidRDefault="0009564E" w:rsidP="0009564E">
            <w:pPr>
              <w:spacing w:after="160" w:line="360" w:lineRule="auto"/>
              <w:ind w:firstLine="450"/>
              <w:contextualSpacing/>
              <w:jc w:val="both"/>
              <w:rPr>
                <w:rFonts w:ascii="Times New Roman" w:eastAsia="Calibri" w:hAnsi="Times New Roman" w:cs="Times New Roman"/>
                <w:sz w:val="24"/>
                <w:szCs w:val="24"/>
              </w:rPr>
            </w:pPr>
            <w:r w:rsidRPr="00520884">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520884">
              <w:rPr>
                <w:rFonts w:ascii="Times New Roman" w:eastAsia="Calibri" w:hAnsi="Times New Roman" w:cs="Times New Roman"/>
                <w:sz w:val="24"/>
                <w:szCs w:val="24"/>
              </w:rPr>
              <w:t>mo tvarkos aprašo patvirtinimo“</w:t>
            </w:r>
          </w:p>
        </w:tc>
      </w:tr>
      <w:tr w:rsidR="00520884" w:rsidRPr="00520884" w:rsidTr="00803036">
        <w:tc>
          <w:tcPr>
            <w:tcW w:w="570" w:type="dxa"/>
          </w:tcPr>
          <w:p w:rsidR="001E3EA9" w:rsidRPr="00520884" w:rsidRDefault="001E3EA9" w:rsidP="001E3EA9">
            <w:pPr>
              <w:pStyle w:val="Sraopastraipa"/>
              <w:spacing w:line="360" w:lineRule="auto"/>
              <w:ind w:left="0"/>
              <w:jc w:val="center"/>
              <w:rPr>
                <w:rFonts w:ascii="Times New Roman" w:hAnsi="Times New Roman" w:cs="Times New Roman"/>
                <w:sz w:val="24"/>
                <w:szCs w:val="24"/>
              </w:rPr>
            </w:pPr>
            <w:r w:rsidRPr="00520884">
              <w:rPr>
                <w:rFonts w:ascii="Times New Roman" w:hAnsi="Times New Roman" w:cs="Times New Roman"/>
                <w:sz w:val="24"/>
                <w:szCs w:val="24"/>
              </w:rPr>
              <w:t xml:space="preserve">12. </w:t>
            </w:r>
          </w:p>
        </w:tc>
        <w:tc>
          <w:tcPr>
            <w:tcW w:w="2241" w:type="dxa"/>
          </w:tcPr>
          <w:p w:rsidR="001E3EA9" w:rsidRPr="00520884" w:rsidRDefault="001E3EA9" w:rsidP="001E3EA9">
            <w:pPr>
              <w:spacing w:line="360" w:lineRule="auto"/>
              <w:contextualSpacing/>
              <w:rPr>
                <w:rFonts w:ascii="Times New Roman" w:hAnsi="Times New Roman" w:cs="Times New Roman"/>
                <w:sz w:val="24"/>
                <w:szCs w:val="24"/>
              </w:rPr>
            </w:pPr>
            <w:r w:rsidRPr="00520884">
              <w:rPr>
                <w:rFonts w:ascii="Times New Roman" w:hAnsi="Times New Roman" w:cs="Times New Roman"/>
                <w:sz w:val="24"/>
                <w:szCs w:val="24"/>
              </w:rPr>
              <w:t>Informacija teikiama</w:t>
            </w:r>
          </w:p>
        </w:tc>
        <w:tc>
          <w:tcPr>
            <w:tcW w:w="12181" w:type="dxa"/>
          </w:tcPr>
          <w:p w:rsidR="001E3EA9" w:rsidRPr="00520884" w:rsidRDefault="001E3EA9" w:rsidP="001E3EA9">
            <w:pPr>
              <w:spacing w:line="360" w:lineRule="auto"/>
              <w:ind w:firstLine="176"/>
              <w:contextualSpacing/>
              <w:rPr>
                <w:rFonts w:ascii="Times New Roman" w:hAnsi="Times New Roman" w:cs="Times New Roman"/>
                <w:sz w:val="24"/>
                <w:szCs w:val="24"/>
              </w:rPr>
            </w:pPr>
            <w:proofErr w:type="spellStart"/>
            <w:r w:rsidRPr="00520884">
              <w:rPr>
                <w:rFonts w:ascii="Times New Roman" w:hAnsi="Times New Roman" w:cs="Times New Roman"/>
                <w:sz w:val="24"/>
                <w:szCs w:val="24"/>
              </w:rPr>
              <w:t>vitalija.romanoviene@kaunas.lt</w:t>
            </w:r>
            <w:proofErr w:type="spellEnd"/>
            <w:r w:rsidRPr="00520884">
              <w:rPr>
                <w:rFonts w:ascii="Times New Roman" w:hAnsi="Times New Roman" w:cs="Times New Roman"/>
                <w:sz w:val="24"/>
                <w:szCs w:val="24"/>
              </w:rPr>
              <w:t>, tel. 42 46 30</w:t>
            </w:r>
          </w:p>
          <w:p w:rsidR="001E3EA9" w:rsidRPr="00520884" w:rsidRDefault="001E3EA9" w:rsidP="001E3EA9">
            <w:pPr>
              <w:spacing w:line="360" w:lineRule="auto"/>
              <w:ind w:firstLine="176"/>
              <w:contextualSpacing/>
              <w:rPr>
                <w:rFonts w:ascii="Times New Roman" w:hAnsi="Times New Roman" w:cs="Times New Roman"/>
                <w:sz w:val="24"/>
                <w:szCs w:val="24"/>
              </w:rPr>
            </w:pPr>
            <w:proofErr w:type="spellStart"/>
            <w:r w:rsidRPr="00520884">
              <w:rPr>
                <w:rFonts w:ascii="Times New Roman" w:hAnsi="Times New Roman" w:cs="Times New Roman"/>
                <w:sz w:val="24"/>
                <w:szCs w:val="24"/>
              </w:rPr>
              <w:t>ernesta.ratkeliene@kaunas.lt</w:t>
            </w:r>
            <w:proofErr w:type="spellEnd"/>
            <w:r w:rsidRPr="00520884">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35562"/>
    <w:rsid w:val="000621CA"/>
    <w:rsid w:val="00067C67"/>
    <w:rsid w:val="0009564E"/>
    <w:rsid w:val="00097C8B"/>
    <w:rsid w:val="000A5C54"/>
    <w:rsid w:val="000E7281"/>
    <w:rsid w:val="0012222B"/>
    <w:rsid w:val="00127E67"/>
    <w:rsid w:val="00155F22"/>
    <w:rsid w:val="001A4C7F"/>
    <w:rsid w:val="001B55EE"/>
    <w:rsid w:val="001B65D2"/>
    <w:rsid w:val="001E0613"/>
    <w:rsid w:val="001E3EA9"/>
    <w:rsid w:val="002A39D9"/>
    <w:rsid w:val="002C5903"/>
    <w:rsid w:val="00305AC0"/>
    <w:rsid w:val="00313598"/>
    <w:rsid w:val="00316DC7"/>
    <w:rsid w:val="003524F8"/>
    <w:rsid w:val="00365FCA"/>
    <w:rsid w:val="00393920"/>
    <w:rsid w:val="003D685F"/>
    <w:rsid w:val="00404A79"/>
    <w:rsid w:val="00410244"/>
    <w:rsid w:val="00416DC0"/>
    <w:rsid w:val="0042057F"/>
    <w:rsid w:val="00420B2A"/>
    <w:rsid w:val="00440AE6"/>
    <w:rsid w:val="00476108"/>
    <w:rsid w:val="00520884"/>
    <w:rsid w:val="005C2ADE"/>
    <w:rsid w:val="0063537D"/>
    <w:rsid w:val="0065643B"/>
    <w:rsid w:val="006A6078"/>
    <w:rsid w:val="006D29A7"/>
    <w:rsid w:val="00755834"/>
    <w:rsid w:val="00772543"/>
    <w:rsid w:val="007A5C8A"/>
    <w:rsid w:val="007C6AA9"/>
    <w:rsid w:val="007D2AF2"/>
    <w:rsid w:val="00803036"/>
    <w:rsid w:val="0084317C"/>
    <w:rsid w:val="00846A09"/>
    <w:rsid w:val="008E0DAC"/>
    <w:rsid w:val="008F6C10"/>
    <w:rsid w:val="00933243"/>
    <w:rsid w:val="009604E0"/>
    <w:rsid w:val="009876DC"/>
    <w:rsid w:val="009C3AAF"/>
    <w:rsid w:val="009F5C7D"/>
    <w:rsid w:val="00A322B6"/>
    <w:rsid w:val="00A32F3E"/>
    <w:rsid w:val="00A51650"/>
    <w:rsid w:val="00AD2F7D"/>
    <w:rsid w:val="00B62F67"/>
    <w:rsid w:val="00B725E6"/>
    <w:rsid w:val="00B74691"/>
    <w:rsid w:val="00BC225D"/>
    <w:rsid w:val="00C13EB8"/>
    <w:rsid w:val="00C36ADE"/>
    <w:rsid w:val="00CF1A77"/>
    <w:rsid w:val="00D7224D"/>
    <w:rsid w:val="00D85193"/>
    <w:rsid w:val="00DC7F75"/>
    <w:rsid w:val="00DD1148"/>
    <w:rsid w:val="00E0309E"/>
    <w:rsid w:val="00EE3678"/>
    <w:rsid w:val="00F06113"/>
    <w:rsid w:val="00F171ED"/>
    <w:rsid w:val="00F44C99"/>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59.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6990</Characters>
  <Application>Microsoft Office Word</Application>
  <DocSecurity>0</DocSecurity>
  <Lines>162</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NEVYRIAUSYBINIŲ ORGANIZACIJŲ IR MIESTO BENDRUOMENĖS ĮGALINIMO SRITIES PRIORITETĄ „NAUJŲ ATVIRŲ JAUNIMO CENTRŲ IR JAUNIMO ERDVIŲ PASLAUGŲ PLĖTRA“ NR. 2016-4-4.3-1</dc:subject>
  <dc:creator>Plėtros programų ir investicijų skyrius</dc:creator>
  <cp:lastModifiedBy>Dalia Staškuvienė</cp:lastModifiedBy>
  <cp:revision>3</cp:revision>
  <dcterms:created xsi:type="dcterms:W3CDTF">2016-02-29T14:32:00Z</dcterms:created>
  <dcterms:modified xsi:type="dcterms:W3CDTF">2016-02-29T14:35:00Z</dcterms:modified>
</cp:coreProperties>
</file>