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BB5D22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administracijos direktoriaus</w:t>
      </w:r>
    </w:p>
    <w:p w:rsidR="00F25F75" w:rsidRPr="00BB5D22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</w:t>
      </w:r>
      <w:r w:rsidR="00BB5D22" w:rsidRPr="00BB5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BB5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m. </w:t>
      </w:r>
      <w:r w:rsidR="00CD35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vasario 3 d.</w:t>
      </w:r>
    </w:p>
    <w:p w:rsidR="00F25F75" w:rsidRPr="00BB5D22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įsakymu Nr. A-</w:t>
      </w:r>
      <w:r w:rsidR="00CD35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382</w:t>
      </w:r>
    </w:p>
    <w:p w:rsidR="00F25F75" w:rsidRDefault="00F25F75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4D" w:rsidRPr="00736DAC" w:rsidRDefault="0095594D" w:rsidP="00736DAC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KVIETIMAS TEIKTI PARAIŠKAS PAGAL </w:t>
      </w:r>
      <w:r w:rsidR="0006757B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BENDROSIOS GYVENTOJŲ KULTŪROS </w:t>
      </w:r>
      <w:r w:rsidR="00544DE9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UGDYMO </w:t>
      </w:r>
      <w:r w:rsidR="00CE58B1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SRITIES</w:t>
      </w:r>
      <w:r w:rsidR="0041461A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PRIORITETĄ </w:t>
      </w:r>
      <w:r w:rsidR="00291F30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230CCF" w:rsidRPr="00736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NAUJŲ KULTŪROS PASLAUGŲ IR PRODUKTŲ SUKŪRIMAS,</w:t>
      </w:r>
      <w:r w:rsidR="0006757B" w:rsidRPr="00736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0CCF" w:rsidRPr="00736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ĮTRAUKIANT MIESTO BENDRUOMENĘ</w:t>
      </w:r>
      <w:r w:rsid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“ </w:t>
      </w:r>
      <w:r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F45836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2017-</w:t>
      </w:r>
      <w:r w:rsidR="002829A8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2829A8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30CCF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F45836" w:rsidRPr="00736D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-1</w:t>
      </w:r>
      <w:bookmarkEnd w:id="0"/>
    </w:p>
    <w:p w:rsidR="0095594D" w:rsidRPr="0079467D" w:rsidRDefault="0095594D" w:rsidP="00544DE9">
      <w:pPr>
        <w:spacing w:after="0" w:line="240" w:lineRule="auto"/>
        <w:contextualSpacing/>
        <w:jc w:val="center"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21619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8A1DAA" w:rsidRDefault="00521DB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 gyventojų kultūros ugdymo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8A1DAA" w:rsidRDefault="00230CCF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Naujų kultūros paslaugų ir produktų sukūrimas</w:t>
            </w:r>
            <w:r w:rsidR="00880AF1" w:rsidRPr="008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įtraukiant miesto bendruomenę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B1102E" w:rsidRPr="008A1DAA" w:rsidRDefault="00B1102E" w:rsidP="00BF2331">
            <w:pPr>
              <w:tabs>
                <w:tab w:val="left" w:pos="3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 Edu</w:t>
            </w:r>
            <w:r w:rsidR="00705840" w:rsidRPr="0073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kaciniai projektai ir programos </w:t>
            </w:r>
            <w:r w:rsidRPr="0073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įvairaus amžiaus ir įvairių </w:t>
            </w:r>
            <w:r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socialinių grupių asmenims, kūrybinės</w:t>
            </w:r>
            <w:r w:rsidR="00880AF1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dirbtuvės, skirtos bendruomenei įtraukti</w:t>
            </w:r>
            <w:r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į kūrybinius procesus ir žinioms apie kult</w:t>
            </w:r>
            <w:r w:rsidR="00880AF1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ūrą, meną, pilietiškumą plėsti</w:t>
            </w:r>
            <w:r w:rsidR="00736DAC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102E" w:rsidRPr="00736DAC" w:rsidRDefault="0098182C" w:rsidP="00BF233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 Viešųjų erdvių įveiklinimo</w:t>
            </w:r>
            <w:r w:rsidR="00B1102E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projektai, išryškinantys ar įprasminantys tam tikros</w:t>
            </w:r>
            <w:r w:rsidR="00736DAC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vietos (teritorijos) savitumus.</w:t>
            </w:r>
          </w:p>
          <w:p w:rsidR="00B1102E" w:rsidRPr="00736DAC" w:rsidRDefault="00B1102E" w:rsidP="00BF233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3.3. Kokybiško ir kūrybiškumą ugdančio laisvalaikio organizavimo projektai, skirt</w:t>
            </w:r>
            <w:r w:rsidR="00736DAC" w:rsidRPr="0073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įvairioms socialinėms grupėms.</w:t>
            </w:r>
          </w:p>
          <w:p w:rsidR="00D050C7" w:rsidRPr="00736DAC" w:rsidRDefault="00B1102E" w:rsidP="00BF2331">
            <w:pPr>
              <w:pStyle w:val="Sraopastraipa"/>
              <w:tabs>
                <w:tab w:val="left" w:pos="42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D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3.4. Gatvės meno populiarinimo projektai.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467C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Minimali </w:t>
            </w:r>
            <w:r w:rsidR="009E3738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7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3BA" w:rsidRPr="00B52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44DE9" w:rsidRPr="00B52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45C71" w:rsidRPr="00B52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Eur</w:t>
            </w:r>
            <w:r w:rsidR="0070388A" w:rsidRPr="00B52E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530" w:rsidRDefault="003F4530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846100" w:rsidRPr="00C61959" w:rsidRDefault="00C61959" w:rsidP="00207267">
            <w:pPr>
              <w:pStyle w:val="Sraopastraip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98182C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98182C" w:rsidRPr="008A1DAA">
              <w:rPr>
                <w:rFonts w:ascii="Times New Roman" w:hAnsi="Times New Roman" w:cs="Times New Roman"/>
                <w:sz w:val="24"/>
                <w:szCs w:val="24"/>
              </w:rPr>
              <w:t>išlaidų,</w:t>
            </w:r>
            <w:r w:rsidRPr="008A1DAA">
              <w:rPr>
                <w:rFonts w:ascii="Times New Roman" w:hAnsi="Times New Roman" w:cs="Times New Roman"/>
                <w:sz w:val="24"/>
                <w:szCs w:val="24"/>
              </w:rPr>
              <w:t xml:space="preserve"> 40 proc. išlaidų turi </w:t>
            </w:r>
            <w:r w:rsidRPr="008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Pr="00D43BE1" w:rsidRDefault="00AC75E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</w:tc>
      </w:tr>
      <w:tr w:rsidR="0030498D" w:rsidRPr="0079467D" w:rsidTr="0021619D"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</w:t>
            </w:r>
            <w:r w:rsidR="00E67EEF">
              <w:rPr>
                <w:rFonts w:ascii="Times New Roman" w:hAnsi="Times New Roman" w:cs="Times New Roman"/>
                <w:sz w:val="24"/>
                <w:szCs w:val="24"/>
              </w:rPr>
              <w:t>mai pareiškėjui ir partneriui (partner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Pr="00A52719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yra </w:t>
            </w:r>
            <w:r w:rsidR="007A5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avivaldybė.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1F2BE2" w:rsidRPr="002479DA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Default="003C5A0E" w:rsidP="007315AD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E17" w:rsidRDefault="007315A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="003C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 nėra pateikęs</w:t>
            </w:r>
            <w:r w:rsid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pagal kitas finansavimo programas.</w:t>
            </w:r>
          </w:p>
          <w:p w:rsidR="00310ABC" w:rsidRPr="002479DA" w:rsidRDefault="007315A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1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1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1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1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31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2479DA" w:rsidRDefault="007315AD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Pareiškėjas paraišką gali teikti individualiai arba su projekto partneriu</w:t>
            </w:r>
            <w:r w:rsidR="0041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(-iais), kuris (kurie) turi būti nurodyti paraiškoje.</w:t>
            </w:r>
          </w:p>
          <w:p w:rsidR="007E422D" w:rsidRPr="002479DA" w:rsidRDefault="007315AD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  <w:r w:rsidR="007E4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partneriu (-iais) gali būti juridinis (-iai) asmuo (asmenys). Projekto partneriu (-iais) negali būti asmuo (asmenys), jei jis (jie) atitinka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7315AD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7315AD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projekto partneriu (-iais), pareiškėjas ir projekto partneris (-iai)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920326" w:rsidRPr="00920326" w:rsidRDefault="00AC75E2" w:rsidP="00611573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31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partnerio būtinumą projekte ir su tuo susijusius valdymo sunkumus. 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98182C">
              <w:rPr>
                <w:rFonts w:ascii="Times New Roman" w:hAnsi="Times New Roman" w:cs="Times New Roman"/>
                <w:sz w:val="24"/>
                <w:szCs w:val="24"/>
              </w:rPr>
              <w:t xml:space="preserve"> m. sausio 1 </w:t>
            </w:r>
            <w:r w:rsidR="0098182C" w:rsidRPr="008A1DAA"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r w:rsidR="001C08F5" w:rsidRPr="008A1DA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020C" w:rsidRPr="00AD1F00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 j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:rsidR="00CC020C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7.2.5.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1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tinkamumą dalyvauti proje</w:t>
            </w:r>
            <w:r w:rsidR="0061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kalbą;</w:t>
            </w:r>
          </w:p>
          <w:p w:rsidR="00CC020C" w:rsidRPr="00AD1F00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CC020C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BF2331" w:rsidRPr="009974A2" w:rsidRDefault="00BF2331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D6" w:rsidRPr="00446C9F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E221E6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„Paraiška“, nurodytas kvietimo numeris, srities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67529A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 projektas, 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 xml:space="preserve"> kompiuteriu, lietuvių kalba, at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spiraliniu ar terminiu būdu, įdėti į įmautes. Visi paraiškos ir pridedamų dokumentų lapai turi būti sunumeruoti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11DDF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elektroninių paslaugų sistemą </w:t>
            </w:r>
            <w:r w:rsidR="000300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911DDF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Galutinis paraiškos pateikimo terminas – </w:t>
            </w:r>
            <w:r w:rsidR="00CC020C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2017 m.</w:t>
            </w:r>
            <w:r w:rsidR="00490BD8" w:rsidRPr="001E350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A1DAA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 28</w:t>
            </w:r>
            <w:r w:rsidR="00C70493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  <w:r w:rsidR="00C70493" w:rsidRPr="008A1D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020C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Jei paraiška siunčiama paštu, pateikimo data laikoma išsiuntimo iš pašto antspaudo data. Jei paraiška teikiama elektroninėje sistemoje, pateikimo data laikoma elektroninėje sistemoje pateikimo momentu fiksuota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</w:t>
            </w:r>
            <w:r w:rsidR="008A1DAA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 28</w:t>
            </w:r>
            <w:r w:rsidR="001E3503" w:rsidRPr="008A1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503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C020C" w:rsidRPr="00261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B71FEE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136" w:rsidRPr="00BF233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BF2331" w:rsidRDefault="00BF2331" w:rsidP="00BF2331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331" w:rsidRPr="00BF2331" w:rsidRDefault="00BF2331" w:rsidP="00BF2331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</w:t>
            </w:r>
            <w:r w:rsidR="00B2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Savivaldybės biudžeto lėšų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B2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naudojimo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6C3E94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94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6C3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C25136" w:rsidRPr="006C3E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 w:rsidRPr="006C3E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6C3E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 w:rsidRPr="006C3E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A93EBC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666091" w:rsidRPr="0066609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projektui įgyvendinti reikalingų paslaugų pirkimo išlaidos</w:t>
            </w:r>
            <w:r w:rsidR="00C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(autorinės, atlikėjo ir kitų atlygintinų paslaugų sutartys, pagal verslo liudijimus ar individualios veiklos pažymėjimus ir kt. bei kitų paslaugų </w:t>
            </w:r>
            <w:r w:rsidR="0098182C" w:rsidRPr="0048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</w:t>
            </w:r>
            <w:r w:rsidR="00C85210" w:rsidRPr="004853FC">
              <w:rPr>
                <w:rFonts w:ascii="Times New Roman" w:eastAsia="Calibri" w:hAnsi="Times New Roman" w:cs="Times New Roman"/>
                <w:sz w:val="24"/>
                <w:szCs w:val="24"/>
              </w:rPr>
              <w:t>išlaidos)</w:t>
            </w:r>
            <w:r w:rsidRPr="004853FC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 w:rsidRPr="004853F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C25136" w:rsidRPr="00BF2331" w:rsidRDefault="0066609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BF2331" w:rsidRPr="00BF2331" w:rsidRDefault="00BF2331" w:rsidP="00BF2331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BC3B56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Pr="005407D8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investiciniams projektams, pastatams statyti, statiniams rekonstruoti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3519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us metus ir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Pr="003F2D59" w:rsidRDefault="005407D8" w:rsidP="00263465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CE6123" w:rsidRDefault="00CE6123" w:rsidP="00CE6123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2" w:type="dxa"/>
          </w:tcPr>
          <w:p w:rsidR="0095594D" w:rsidRPr="007A6F29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</w:t>
            </w:r>
            <w:r w:rsidR="00CE6123" w:rsidRPr="004853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53FC">
              <w:rPr>
                <w:rFonts w:ascii="Times New Roman" w:hAnsi="Times New Roman" w:cs="Times New Roman"/>
                <w:sz w:val="24"/>
                <w:szCs w:val="24"/>
              </w:rPr>
              <w:t>avivaldybės administracijos Plėtros programų ir investicijų skyrius.</w:t>
            </w:r>
          </w:p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416CD4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</w:t>
            </w:r>
            <w:r w:rsidRPr="00485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tarybos 2016 m. kovo </w:t>
            </w:r>
            <w:r w:rsidR="00CE6123" w:rsidRPr="00485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CE61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sprendimu Nr. T-97 „Dėl Kauno miesto savivaldybės 2016–2018 metų strateginio veiklos plano patvirtinimo“.</w:t>
            </w: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79467D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0C19BB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</w:p>
        </w:tc>
        <w:tc>
          <w:tcPr>
            <w:tcW w:w="7258" w:type="dxa"/>
          </w:tcPr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@kaunas.lt</w:t>
              </w:r>
            </w:hyperlink>
            <w:r w:rsidRPr="00C569E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569E8">
              <w:rPr>
                <w:u w:val="single"/>
                <w:lang w:val="en-US"/>
              </w:rPr>
              <w:t xml:space="preserve">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C56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C5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0C19BB" w:rsidRDefault="00C569E8" w:rsidP="00263465">
            <w:pPr>
              <w:spacing w:line="348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skyrius (DUK)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79467D" w:rsidRDefault="00C569E8" w:rsidP="00D21F8A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7D45" w:rsidRDefault="00DA570E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21619D">
          <w:headerReference w:type="default" r:id="rId12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_______________________________</w:t>
      </w:r>
    </w:p>
    <w:p w:rsidR="008A5CBD" w:rsidRDefault="008A5CBD" w:rsidP="008A5CBD">
      <w:pPr>
        <w:pStyle w:val="Antrat1"/>
        <w:tabs>
          <w:tab w:val="clear" w:pos="0"/>
          <w:tab w:val="left" w:pos="1296"/>
        </w:tabs>
        <w:spacing w:line="360" w:lineRule="auto"/>
        <w:ind w:left="4678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lastRenderedPageBreak/>
        <w:t xml:space="preserve">Kvietimo  teikti paraiškas pagal bendrosios gyventojų kultūros ugdymo srities prioritetą „Naujų kultūros paslaugų ir produktų sukūrimas, įtraukiant miesto bendruomenę“ Nr. 2017-1-1.3-1 </w:t>
      </w:r>
    </w:p>
    <w:p w:rsidR="008A5CBD" w:rsidRDefault="008A5CBD" w:rsidP="008A5CBD">
      <w:pPr>
        <w:pStyle w:val="Antrat1"/>
        <w:tabs>
          <w:tab w:val="clear" w:pos="0"/>
          <w:tab w:val="left" w:pos="1296"/>
        </w:tabs>
        <w:spacing w:line="360" w:lineRule="auto"/>
        <w:ind w:left="4678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t>priedas</w:t>
      </w:r>
    </w:p>
    <w:p w:rsidR="008A5CBD" w:rsidRDefault="008A5CBD" w:rsidP="008A5CBD">
      <w:pPr>
        <w:rPr>
          <w:lang w:eastAsia="ar-SA"/>
        </w:rPr>
      </w:pPr>
    </w:p>
    <w:p w:rsidR="008A5CBD" w:rsidRDefault="008A5CBD" w:rsidP="008A5C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:rsidR="008A5CBD" w:rsidRDefault="008A5CBD" w:rsidP="008A5CB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BD" w:rsidRDefault="008A5CBD" w:rsidP="008A5CBD">
      <w:pPr>
        <w:pStyle w:val="Antrat1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VIEŠŲJŲ PASLAUGŲ TEIKIMO PROJEKTŲ NAUDOS IR KOKYBĖS VERTINIMO LAPAS</w:t>
      </w:r>
    </w:p>
    <w:p w:rsidR="008A5CBD" w:rsidRDefault="008A5CBD" w:rsidP="008A5CBD">
      <w:pPr>
        <w:rPr>
          <w:rFonts w:ascii="Times New Roman" w:hAnsi="Times New Roman" w:cs="Times New Roman"/>
          <w:sz w:val="24"/>
          <w:szCs w:val="24"/>
        </w:rPr>
      </w:pPr>
    </w:p>
    <w:p w:rsidR="008A5CBD" w:rsidRDefault="008A5CBD" w:rsidP="008A5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-1-1.3-1</w:t>
      </w:r>
    </w:p>
    <w:p w:rsidR="008A5CBD" w:rsidRDefault="008A5CBD" w:rsidP="008A5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A5CBD" w:rsidRDefault="008A5CBD" w:rsidP="008A5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8A5CBD" w:rsidRDefault="008A5CBD" w:rsidP="008A5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A5CBD" w:rsidRDefault="008A5CBD" w:rsidP="008A5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:rsidR="008A5CBD" w:rsidRDefault="008A5CBD" w:rsidP="008A5C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3801"/>
        <w:gridCol w:w="709"/>
        <w:gridCol w:w="1726"/>
        <w:gridCol w:w="1844"/>
        <w:gridCol w:w="1701"/>
      </w:tblGrid>
      <w:tr w:rsidR="008A5CBD" w:rsidTr="008A5CBD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A5CBD" w:rsidRDefault="008A5CBD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8A5CBD" w:rsidTr="008A5CBD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patirtis, vykdant veiklą srityje,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Projekto veiklose dalyvauja ne mažiau kaip 50 paslaugų gavėjų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Sukurtos naujos kultūros paslaugos ir produktai gali būti pritaikomi socialinių paslaugų teikimo įstaigose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Projekto veiklos per metus vyksta ne mažiau kaip 2 kartus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5CBD" w:rsidTr="008A5CBD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BD" w:rsidTr="008A5CBD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8A5CBD" w:rsidTr="008A5CBD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8A5CBD" w:rsidTr="008A5CB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Eur,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BD" w:rsidTr="008A5CB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CBD" w:rsidRDefault="008A5CBD">
            <w:pPr>
              <w:spacing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BD" w:rsidRDefault="008A5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CBD" w:rsidRDefault="008A5CBD" w:rsidP="008A5CBD">
      <w:pPr>
        <w:rPr>
          <w:rFonts w:ascii="Times New Roman" w:hAnsi="Times New Roman" w:cs="Times New Roman"/>
          <w:b/>
          <w:sz w:val="24"/>
          <w:szCs w:val="24"/>
        </w:rPr>
      </w:pPr>
    </w:p>
    <w:p w:rsidR="008A5CBD" w:rsidRDefault="008A5CBD" w:rsidP="008A5CBD">
      <w:p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Bendras skirtų balų skaičius nuo 55 iki 100 balų – projektas remtinas, mažiau nei 55 balai – projektas atmestinas.</w:t>
      </w:r>
    </w:p>
    <w:p w:rsidR="008A5CBD" w:rsidRDefault="008A5CBD" w:rsidP="008A5CBD">
      <w:pPr>
        <w:rPr>
          <w:rFonts w:ascii="Times New Roman" w:hAnsi="Times New Roman" w:cs="Times New Roman"/>
          <w:sz w:val="24"/>
          <w:szCs w:val="24"/>
        </w:rPr>
      </w:pPr>
    </w:p>
    <w:p w:rsidR="008A5CBD" w:rsidRDefault="008A5CBD" w:rsidP="008A5CBD">
      <w:pPr>
        <w:tabs>
          <w:tab w:val="left" w:pos="284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                                            _____________________</w:t>
      </w:r>
    </w:p>
    <w:p w:rsidR="008A5CBD" w:rsidRDefault="008A5CBD" w:rsidP="008A5CB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(parašas)                                                      (vardas ir pavardė)</w:t>
      </w:r>
    </w:p>
    <w:p w:rsidR="008A5CBD" w:rsidRDefault="008A5CBD" w:rsidP="008A5CBD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5CBD" w:rsidRDefault="008A5CBD" w:rsidP="008A5CBD">
      <w:pPr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8A5CBD" w:rsidRDefault="008A5CBD" w:rsidP="008A5CBD"/>
    <w:p w:rsidR="00A27D45" w:rsidRDefault="00A27D45" w:rsidP="00A27D45"/>
    <w:p w:rsidR="00A27D45" w:rsidRPr="002E4F0A" w:rsidRDefault="00A27D45" w:rsidP="002B6267">
      <w:pPr>
        <w:spacing w:line="348" w:lineRule="auto"/>
        <w:rPr>
          <w:rFonts w:ascii="Times New Roman" w:hAnsi="Times New Roman" w:cs="Times New Roman"/>
        </w:rPr>
      </w:pPr>
    </w:p>
    <w:sectPr w:rsidR="00A27D45" w:rsidRPr="002E4F0A" w:rsidSect="008A5CBD">
      <w:pgSz w:w="11906" w:h="16838"/>
      <w:pgMar w:top="1135" w:right="567" w:bottom="1276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E9" w:rsidRDefault="003135E9" w:rsidP="00E22B48">
      <w:pPr>
        <w:spacing w:after="0" w:line="240" w:lineRule="auto"/>
      </w:pPr>
      <w:r>
        <w:separator/>
      </w:r>
    </w:p>
  </w:endnote>
  <w:endnote w:type="continuationSeparator" w:id="0">
    <w:p w:rsidR="003135E9" w:rsidRDefault="003135E9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E9" w:rsidRDefault="003135E9" w:rsidP="00E22B48">
      <w:pPr>
        <w:spacing w:after="0" w:line="240" w:lineRule="auto"/>
      </w:pPr>
      <w:r>
        <w:separator/>
      </w:r>
    </w:p>
  </w:footnote>
  <w:footnote w:type="continuationSeparator" w:id="0">
    <w:p w:rsidR="003135E9" w:rsidRDefault="003135E9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/>
    <w:sdtContent>
      <w:p w:rsidR="00E22B48" w:rsidRDefault="00E22B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65">
          <w:rPr>
            <w:noProof/>
          </w:rPr>
          <w:t>2</w:t>
        </w:r>
        <w:r>
          <w:fldChar w:fldCharType="end"/>
        </w:r>
      </w:p>
    </w:sdtContent>
  </w:sdt>
  <w:p w:rsidR="00E22B48" w:rsidRDefault="00E22B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EC767C"/>
    <w:multiLevelType w:val="hybridMultilevel"/>
    <w:tmpl w:val="B7EEAA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6FB4EFD"/>
    <w:multiLevelType w:val="multilevel"/>
    <w:tmpl w:val="2DAA2A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23"/>
  </w:num>
  <w:num w:numId="10">
    <w:abstractNumId w:val="1"/>
  </w:num>
  <w:num w:numId="11">
    <w:abstractNumId w:val="19"/>
  </w:num>
  <w:num w:numId="12">
    <w:abstractNumId w:val="3"/>
  </w:num>
  <w:num w:numId="13">
    <w:abstractNumId w:val="22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15"/>
  </w:num>
  <w:num w:numId="20">
    <w:abstractNumId w:val="25"/>
  </w:num>
  <w:num w:numId="21">
    <w:abstractNumId w:val="14"/>
  </w:num>
  <w:num w:numId="22">
    <w:abstractNumId w:val="12"/>
  </w:num>
  <w:num w:numId="23">
    <w:abstractNumId w:val="9"/>
  </w:num>
  <w:num w:numId="24">
    <w:abstractNumId w:val="17"/>
  </w:num>
  <w:num w:numId="25">
    <w:abstractNumId w:val="4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5F3D"/>
    <w:rsid w:val="0001160B"/>
    <w:rsid w:val="00012DF3"/>
    <w:rsid w:val="000175B9"/>
    <w:rsid w:val="000222C1"/>
    <w:rsid w:val="00030000"/>
    <w:rsid w:val="00030061"/>
    <w:rsid w:val="0004667E"/>
    <w:rsid w:val="000578B8"/>
    <w:rsid w:val="00061B0B"/>
    <w:rsid w:val="00066072"/>
    <w:rsid w:val="0006757B"/>
    <w:rsid w:val="00071CF4"/>
    <w:rsid w:val="00084DEF"/>
    <w:rsid w:val="00090E20"/>
    <w:rsid w:val="0009564E"/>
    <w:rsid w:val="00097C8B"/>
    <w:rsid w:val="000A563A"/>
    <w:rsid w:val="000C19BB"/>
    <w:rsid w:val="000D4610"/>
    <w:rsid w:val="000E0008"/>
    <w:rsid w:val="000E7281"/>
    <w:rsid w:val="000F10F3"/>
    <w:rsid w:val="00102A4E"/>
    <w:rsid w:val="00113837"/>
    <w:rsid w:val="001161E8"/>
    <w:rsid w:val="00117C51"/>
    <w:rsid w:val="0012222B"/>
    <w:rsid w:val="0013316B"/>
    <w:rsid w:val="00140F62"/>
    <w:rsid w:val="00142C5B"/>
    <w:rsid w:val="00142F42"/>
    <w:rsid w:val="001446A1"/>
    <w:rsid w:val="00144C9B"/>
    <w:rsid w:val="0014731A"/>
    <w:rsid w:val="0014774B"/>
    <w:rsid w:val="00153249"/>
    <w:rsid w:val="0016014D"/>
    <w:rsid w:val="001614C3"/>
    <w:rsid w:val="00162D85"/>
    <w:rsid w:val="00163190"/>
    <w:rsid w:val="0016706E"/>
    <w:rsid w:val="00167D68"/>
    <w:rsid w:val="00172344"/>
    <w:rsid w:val="0017677B"/>
    <w:rsid w:val="00176845"/>
    <w:rsid w:val="00184234"/>
    <w:rsid w:val="00184E36"/>
    <w:rsid w:val="001A0A90"/>
    <w:rsid w:val="001A4C7F"/>
    <w:rsid w:val="001B29FF"/>
    <w:rsid w:val="001B55EE"/>
    <w:rsid w:val="001B6295"/>
    <w:rsid w:val="001B65D2"/>
    <w:rsid w:val="001C08F5"/>
    <w:rsid w:val="001C112C"/>
    <w:rsid w:val="001C226B"/>
    <w:rsid w:val="001C39ED"/>
    <w:rsid w:val="001D0B1E"/>
    <w:rsid w:val="001D24F8"/>
    <w:rsid w:val="001D3060"/>
    <w:rsid w:val="001D73BA"/>
    <w:rsid w:val="001E0613"/>
    <w:rsid w:val="001E1B71"/>
    <w:rsid w:val="001E3503"/>
    <w:rsid w:val="001E3EA9"/>
    <w:rsid w:val="001F256E"/>
    <w:rsid w:val="001F2BE2"/>
    <w:rsid w:val="001F328D"/>
    <w:rsid w:val="0020205A"/>
    <w:rsid w:val="00207267"/>
    <w:rsid w:val="00210225"/>
    <w:rsid w:val="00212704"/>
    <w:rsid w:val="0021619D"/>
    <w:rsid w:val="002163B6"/>
    <w:rsid w:val="00230CCF"/>
    <w:rsid w:val="002332DD"/>
    <w:rsid w:val="002479DA"/>
    <w:rsid w:val="0025327D"/>
    <w:rsid w:val="002609F2"/>
    <w:rsid w:val="00261A94"/>
    <w:rsid w:val="00263465"/>
    <w:rsid w:val="0028017A"/>
    <w:rsid w:val="002829A8"/>
    <w:rsid w:val="00291BF2"/>
    <w:rsid w:val="00291F30"/>
    <w:rsid w:val="002A39D9"/>
    <w:rsid w:val="002A436F"/>
    <w:rsid w:val="002A47EE"/>
    <w:rsid w:val="002B1B7F"/>
    <w:rsid w:val="002B6267"/>
    <w:rsid w:val="002C2B5A"/>
    <w:rsid w:val="002C3C9D"/>
    <w:rsid w:val="002C5903"/>
    <w:rsid w:val="002C7D9C"/>
    <w:rsid w:val="002D462F"/>
    <w:rsid w:val="002D6129"/>
    <w:rsid w:val="002E4F0A"/>
    <w:rsid w:val="002E7F9D"/>
    <w:rsid w:val="002F1B58"/>
    <w:rsid w:val="002F7C68"/>
    <w:rsid w:val="003013BB"/>
    <w:rsid w:val="0030498D"/>
    <w:rsid w:val="00305C90"/>
    <w:rsid w:val="00310ABC"/>
    <w:rsid w:val="00313598"/>
    <w:rsid w:val="003135E9"/>
    <w:rsid w:val="00316DC7"/>
    <w:rsid w:val="00322E97"/>
    <w:rsid w:val="00332AFF"/>
    <w:rsid w:val="00341E80"/>
    <w:rsid w:val="003516E4"/>
    <w:rsid w:val="00351989"/>
    <w:rsid w:val="00351C3E"/>
    <w:rsid w:val="003524F8"/>
    <w:rsid w:val="0035565C"/>
    <w:rsid w:val="00362692"/>
    <w:rsid w:val="0036302E"/>
    <w:rsid w:val="00365FCA"/>
    <w:rsid w:val="00385AAC"/>
    <w:rsid w:val="003913C5"/>
    <w:rsid w:val="003A221C"/>
    <w:rsid w:val="003A72FB"/>
    <w:rsid w:val="003C2E59"/>
    <w:rsid w:val="003C5A0E"/>
    <w:rsid w:val="003D559F"/>
    <w:rsid w:val="003D685F"/>
    <w:rsid w:val="003E7C00"/>
    <w:rsid w:val="003F0973"/>
    <w:rsid w:val="003F2D59"/>
    <w:rsid w:val="003F4530"/>
    <w:rsid w:val="003F74D3"/>
    <w:rsid w:val="00401201"/>
    <w:rsid w:val="00404A79"/>
    <w:rsid w:val="00407C8A"/>
    <w:rsid w:val="00410244"/>
    <w:rsid w:val="0041461A"/>
    <w:rsid w:val="00414D8D"/>
    <w:rsid w:val="00415BA2"/>
    <w:rsid w:val="00416CD4"/>
    <w:rsid w:val="0042057F"/>
    <w:rsid w:val="00420B2A"/>
    <w:rsid w:val="004411FB"/>
    <w:rsid w:val="00445597"/>
    <w:rsid w:val="00446C9F"/>
    <w:rsid w:val="00467CD1"/>
    <w:rsid w:val="00475B2E"/>
    <w:rsid w:val="0047639A"/>
    <w:rsid w:val="004853FC"/>
    <w:rsid w:val="00490BD8"/>
    <w:rsid w:val="00491F7F"/>
    <w:rsid w:val="004930E8"/>
    <w:rsid w:val="00497CAB"/>
    <w:rsid w:val="004C0CD6"/>
    <w:rsid w:val="004C1376"/>
    <w:rsid w:val="004D061B"/>
    <w:rsid w:val="004D11DF"/>
    <w:rsid w:val="004E4D84"/>
    <w:rsid w:val="004F4E4D"/>
    <w:rsid w:val="00521DBD"/>
    <w:rsid w:val="005227C2"/>
    <w:rsid w:val="00522800"/>
    <w:rsid w:val="005407D8"/>
    <w:rsid w:val="00544DE9"/>
    <w:rsid w:val="00553B4D"/>
    <w:rsid w:val="00556ACA"/>
    <w:rsid w:val="00557322"/>
    <w:rsid w:val="00566207"/>
    <w:rsid w:val="005775B3"/>
    <w:rsid w:val="00581734"/>
    <w:rsid w:val="005823B1"/>
    <w:rsid w:val="005945B9"/>
    <w:rsid w:val="005A767A"/>
    <w:rsid w:val="005B0B54"/>
    <w:rsid w:val="005C085F"/>
    <w:rsid w:val="005C2AC9"/>
    <w:rsid w:val="005C31E2"/>
    <w:rsid w:val="005C7955"/>
    <w:rsid w:val="005E348D"/>
    <w:rsid w:val="005F25A0"/>
    <w:rsid w:val="005F5924"/>
    <w:rsid w:val="006012AC"/>
    <w:rsid w:val="00606E51"/>
    <w:rsid w:val="00611573"/>
    <w:rsid w:val="0061311A"/>
    <w:rsid w:val="00630C08"/>
    <w:rsid w:val="0063239F"/>
    <w:rsid w:val="00632676"/>
    <w:rsid w:val="00632CE9"/>
    <w:rsid w:val="0063537D"/>
    <w:rsid w:val="00636222"/>
    <w:rsid w:val="00636802"/>
    <w:rsid w:val="00643709"/>
    <w:rsid w:val="0065643B"/>
    <w:rsid w:val="006575A1"/>
    <w:rsid w:val="00665A91"/>
    <w:rsid w:val="00666091"/>
    <w:rsid w:val="0067529A"/>
    <w:rsid w:val="006757EC"/>
    <w:rsid w:val="006815A1"/>
    <w:rsid w:val="00691A0E"/>
    <w:rsid w:val="00692289"/>
    <w:rsid w:val="00695F89"/>
    <w:rsid w:val="00696E0A"/>
    <w:rsid w:val="006A2EDA"/>
    <w:rsid w:val="006A6078"/>
    <w:rsid w:val="006B3D3C"/>
    <w:rsid w:val="006B6B93"/>
    <w:rsid w:val="006C3E94"/>
    <w:rsid w:val="006D6DC2"/>
    <w:rsid w:val="006F1AD6"/>
    <w:rsid w:val="006F278A"/>
    <w:rsid w:val="006F3C74"/>
    <w:rsid w:val="006F579D"/>
    <w:rsid w:val="006F7B3E"/>
    <w:rsid w:val="006F7CD2"/>
    <w:rsid w:val="00702EAF"/>
    <w:rsid w:val="0070388A"/>
    <w:rsid w:val="00705840"/>
    <w:rsid w:val="00706BF0"/>
    <w:rsid w:val="007113F5"/>
    <w:rsid w:val="007315AD"/>
    <w:rsid w:val="00732109"/>
    <w:rsid w:val="00732829"/>
    <w:rsid w:val="007334EB"/>
    <w:rsid w:val="00736DAC"/>
    <w:rsid w:val="00742CDA"/>
    <w:rsid w:val="00743AA1"/>
    <w:rsid w:val="00747372"/>
    <w:rsid w:val="00755834"/>
    <w:rsid w:val="0076142B"/>
    <w:rsid w:val="00762206"/>
    <w:rsid w:val="00765750"/>
    <w:rsid w:val="0077067E"/>
    <w:rsid w:val="00772543"/>
    <w:rsid w:val="0079383C"/>
    <w:rsid w:val="0079467D"/>
    <w:rsid w:val="007A5255"/>
    <w:rsid w:val="007A5C8A"/>
    <w:rsid w:val="007A6890"/>
    <w:rsid w:val="007A6F29"/>
    <w:rsid w:val="007C0875"/>
    <w:rsid w:val="007C1A60"/>
    <w:rsid w:val="007C4CEB"/>
    <w:rsid w:val="007C60AD"/>
    <w:rsid w:val="007C6AA9"/>
    <w:rsid w:val="007D2AF2"/>
    <w:rsid w:val="007D52E6"/>
    <w:rsid w:val="007D612D"/>
    <w:rsid w:val="007D7751"/>
    <w:rsid w:val="007E214D"/>
    <w:rsid w:val="007E334F"/>
    <w:rsid w:val="007E422D"/>
    <w:rsid w:val="007F0011"/>
    <w:rsid w:val="00803036"/>
    <w:rsid w:val="00821C49"/>
    <w:rsid w:val="00831591"/>
    <w:rsid w:val="008328BF"/>
    <w:rsid w:val="00832E62"/>
    <w:rsid w:val="008345AA"/>
    <w:rsid w:val="00841ED8"/>
    <w:rsid w:val="0084317C"/>
    <w:rsid w:val="00846100"/>
    <w:rsid w:val="00846E3A"/>
    <w:rsid w:val="008519FB"/>
    <w:rsid w:val="00851EF5"/>
    <w:rsid w:val="0085242F"/>
    <w:rsid w:val="00853A03"/>
    <w:rsid w:val="008542B0"/>
    <w:rsid w:val="008575B2"/>
    <w:rsid w:val="00874A12"/>
    <w:rsid w:val="008765E6"/>
    <w:rsid w:val="00880AF1"/>
    <w:rsid w:val="00887F01"/>
    <w:rsid w:val="00890DE1"/>
    <w:rsid w:val="00894D23"/>
    <w:rsid w:val="00895C24"/>
    <w:rsid w:val="008A1DAA"/>
    <w:rsid w:val="008A5CBD"/>
    <w:rsid w:val="008A7156"/>
    <w:rsid w:val="008B075A"/>
    <w:rsid w:val="008B4567"/>
    <w:rsid w:val="008D6CA5"/>
    <w:rsid w:val="008E0DAC"/>
    <w:rsid w:val="008E584A"/>
    <w:rsid w:val="008F391E"/>
    <w:rsid w:val="008F6C10"/>
    <w:rsid w:val="009069F8"/>
    <w:rsid w:val="00911DDF"/>
    <w:rsid w:val="00913086"/>
    <w:rsid w:val="009151BF"/>
    <w:rsid w:val="00920326"/>
    <w:rsid w:val="00921789"/>
    <w:rsid w:val="00922DD6"/>
    <w:rsid w:val="009261E0"/>
    <w:rsid w:val="00931A58"/>
    <w:rsid w:val="00944075"/>
    <w:rsid w:val="009467D4"/>
    <w:rsid w:val="0095594D"/>
    <w:rsid w:val="009604E0"/>
    <w:rsid w:val="00970DE0"/>
    <w:rsid w:val="00977D83"/>
    <w:rsid w:val="00980CD6"/>
    <w:rsid w:val="0098182C"/>
    <w:rsid w:val="009825C7"/>
    <w:rsid w:val="0098349D"/>
    <w:rsid w:val="00996939"/>
    <w:rsid w:val="009974A2"/>
    <w:rsid w:val="009A673E"/>
    <w:rsid w:val="009B3CA1"/>
    <w:rsid w:val="009B529B"/>
    <w:rsid w:val="009D22BA"/>
    <w:rsid w:val="009D3C20"/>
    <w:rsid w:val="009D5520"/>
    <w:rsid w:val="009E04BB"/>
    <w:rsid w:val="009E3738"/>
    <w:rsid w:val="009E5D6B"/>
    <w:rsid w:val="009F0842"/>
    <w:rsid w:val="009F23AE"/>
    <w:rsid w:val="009F4E0D"/>
    <w:rsid w:val="009F5C7D"/>
    <w:rsid w:val="00A052AA"/>
    <w:rsid w:val="00A123E0"/>
    <w:rsid w:val="00A13BC0"/>
    <w:rsid w:val="00A221A1"/>
    <w:rsid w:val="00A27D45"/>
    <w:rsid w:val="00A322A5"/>
    <w:rsid w:val="00A322B6"/>
    <w:rsid w:val="00A32F3E"/>
    <w:rsid w:val="00A3541E"/>
    <w:rsid w:val="00A40868"/>
    <w:rsid w:val="00A4155B"/>
    <w:rsid w:val="00A51650"/>
    <w:rsid w:val="00A52719"/>
    <w:rsid w:val="00A5441D"/>
    <w:rsid w:val="00A54D84"/>
    <w:rsid w:val="00A61878"/>
    <w:rsid w:val="00A65F66"/>
    <w:rsid w:val="00A82F24"/>
    <w:rsid w:val="00A87F22"/>
    <w:rsid w:val="00A91B7D"/>
    <w:rsid w:val="00A92395"/>
    <w:rsid w:val="00A93EBC"/>
    <w:rsid w:val="00AA038B"/>
    <w:rsid w:val="00AC3A4E"/>
    <w:rsid w:val="00AC3C56"/>
    <w:rsid w:val="00AC45B0"/>
    <w:rsid w:val="00AC75E2"/>
    <w:rsid w:val="00AD2F7D"/>
    <w:rsid w:val="00AD7D57"/>
    <w:rsid w:val="00AE4581"/>
    <w:rsid w:val="00AF3C18"/>
    <w:rsid w:val="00AF6C50"/>
    <w:rsid w:val="00B02F08"/>
    <w:rsid w:val="00B10FF1"/>
    <w:rsid w:val="00B1102E"/>
    <w:rsid w:val="00B17B67"/>
    <w:rsid w:val="00B17DAC"/>
    <w:rsid w:val="00B23D7B"/>
    <w:rsid w:val="00B25B5C"/>
    <w:rsid w:val="00B4333A"/>
    <w:rsid w:val="00B50AD7"/>
    <w:rsid w:val="00B50EB8"/>
    <w:rsid w:val="00B51569"/>
    <w:rsid w:val="00B52EF4"/>
    <w:rsid w:val="00B53692"/>
    <w:rsid w:val="00B62F67"/>
    <w:rsid w:val="00B70F16"/>
    <w:rsid w:val="00B71FEE"/>
    <w:rsid w:val="00B725E6"/>
    <w:rsid w:val="00B74691"/>
    <w:rsid w:val="00B80FD1"/>
    <w:rsid w:val="00B842E4"/>
    <w:rsid w:val="00B8542C"/>
    <w:rsid w:val="00B92971"/>
    <w:rsid w:val="00B95367"/>
    <w:rsid w:val="00BB4358"/>
    <w:rsid w:val="00BB5D22"/>
    <w:rsid w:val="00BC225D"/>
    <w:rsid w:val="00BC3B56"/>
    <w:rsid w:val="00BC796F"/>
    <w:rsid w:val="00BD1DBB"/>
    <w:rsid w:val="00BD2648"/>
    <w:rsid w:val="00BD4B20"/>
    <w:rsid w:val="00BE55B2"/>
    <w:rsid w:val="00BF151C"/>
    <w:rsid w:val="00BF1E17"/>
    <w:rsid w:val="00BF2331"/>
    <w:rsid w:val="00BF34EB"/>
    <w:rsid w:val="00C13EB8"/>
    <w:rsid w:val="00C16738"/>
    <w:rsid w:val="00C22182"/>
    <w:rsid w:val="00C25136"/>
    <w:rsid w:val="00C318D3"/>
    <w:rsid w:val="00C341AA"/>
    <w:rsid w:val="00C36ADE"/>
    <w:rsid w:val="00C37C2E"/>
    <w:rsid w:val="00C52CA4"/>
    <w:rsid w:val="00C55CD2"/>
    <w:rsid w:val="00C569E8"/>
    <w:rsid w:val="00C604AC"/>
    <w:rsid w:val="00C61959"/>
    <w:rsid w:val="00C70491"/>
    <w:rsid w:val="00C70493"/>
    <w:rsid w:val="00C76BF0"/>
    <w:rsid w:val="00C778D5"/>
    <w:rsid w:val="00C8289B"/>
    <w:rsid w:val="00C85210"/>
    <w:rsid w:val="00C85987"/>
    <w:rsid w:val="00CB6412"/>
    <w:rsid w:val="00CC020C"/>
    <w:rsid w:val="00CC3E03"/>
    <w:rsid w:val="00CC752B"/>
    <w:rsid w:val="00CD0D86"/>
    <w:rsid w:val="00CD32F6"/>
    <w:rsid w:val="00CD3565"/>
    <w:rsid w:val="00CD7D7F"/>
    <w:rsid w:val="00CE4E45"/>
    <w:rsid w:val="00CE58B1"/>
    <w:rsid w:val="00CE6123"/>
    <w:rsid w:val="00CF1A77"/>
    <w:rsid w:val="00CF345B"/>
    <w:rsid w:val="00D01BCF"/>
    <w:rsid w:val="00D04DCE"/>
    <w:rsid w:val="00D050C7"/>
    <w:rsid w:val="00D12B57"/>
    <w:rsid w:val="00D16774"/>
    <w:rsid w:val="00D16FBC"/>
    <w:rsid w:val="00D21F8A"/>
    <w:rsid w:val="00D31E5E"/>
    <w:rsid w:val="00D32BF1"/>
    <w:rsid w:val="00D34CCE"/>
    <w:rsid w:val="00D402E9"/>
    <w:rsid w:val="00D43BE1"/>
    <w:rsid w:val="00D52462"/>
    <w:rsid w:val="00D63C55"/>
    <w:rsid w:val="00D64792"/>
    <w:rsid w:val="00D7224D"/>
    <w:rsid w:val="00D77F76"/>
    <w:rsid w:val="00D97547"/>
    <w:rsid w:val="00DA570E"/>
    <w:rsid w:val="00DC2EF3"/>
    <w:rsid w:val="00DD1148"/>
    <w:rsid w:val="00DD14FD"/>
    <w:rsid w:val="00DD29F9"/>
    <w:rsid w:val="00DD50B8"/>
    <w:rsid w:val="00DE77F1"/>
    <w:rsid w:val="00DF46B1"/>
    <w:rsid w:val="00DF59D2"/>
    <w:rsid w:val="00E00940"/>
    <w:rsid w:val="00E105DF"/>
    <w:rsid w:val="00E12F35"/>
    <w:rsid w:val="00E221E6"/>
    <w:rsid w:val="00E22B48"/>
    <w:rsid w:val="00E33817"/>
    <w:rsid w:val="00E40BA2"/>
    <w:rsid w:val="00E46CDC"/>
    <w:rsid w:val="00E5099F"/>
    <w:rsid w:val="00E6736D"/>
    <w:rsid w:val="00E67EEF"/>
    <w:rsid w:val="00E71712"/>
    <w:rsid w:val="00E931F0"/>
    <w:rsid w:val="00EA2352"/>
    <w:rsid w:val="00EA6BDE"/>
    <w:rsid w:val="00EB3896"/>
    <w:rsid w:val="00EC004E"/>
    <w:rsid w:val="00ED691E"/>
    <w:rsid w:val="00ED7712"/>
    <w:rsid w:val="00EE3678"/>
    <w:rsid w:val="00EE66FB"/>
    <w:rsid w:val="00EF588B"/>
    <w:rsid w:val="00F171ED"/>
    <w:rsid w:val="00F216F4"/>
    <w:rsid w:val="00F25F75"/>
    <w:rsid w:val="00F30768"/>
    <w:rsid w:val="00F404EC"/>
    <w:rsid w:val="00F42311"/>
    <w:rsid w:val="00F45836"/>
    <w:rsid w:val="00F45C71"/>
    <w:rsid w:val="00F539FD"/>
    <w:rsid w:val="00F60788"/>
    <w:rsid w:val="00F60C9F"/>
    <w:rsid w:val="00F66D4F"/>
    <w:rsid w:val="00F748FA"/>
    <w:rsid w:val="00F769E7"/>
    <w:rsid w:val="00FA1547"/>
    <w:rsid w:val="00FB1611"/>
    <w:rsid w:val="00FB2FA2"/>
    <w:rsid w:val="00FB3ACC"/>
    <w:rsid w:val="00FC10F5"/>
    <w:rsid w:val="00FC31D3"/>
    <w:rsid w:val="00FC688F"/>
    <w:rsid w:val="00FD25F1"/>
    <w:rsid w:val="00FD53B9"/>
    <w:rsid w:val="00FE031C"/>
    <w:rsid w:val="00FE4659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DA89-2716-42D0-BA09-42642C69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2169</Words>
  <Characters>15162</Characters>
  <Application>Microsoft Office Word</Application>
  <DocSecurity>0</DocSecurity>
  <Lines>369</Lines>
  <Paragraphs>175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BENDROSIOS GYVENTOJŲ KULTŪROS UGDYMO  SRITIES  PRIORITETĄ „NAUJŲ KULTŪROS PASLAUGŲ IR PRODUKTŲ SUKŪRIMAS, ĮTRAUKIANT MIESTO BENDRUOMENĘ“ NR. 2017-1-1.3-1</dc:subject>
  <dc:creator>Plėtros programų ir investicijų skyrius</dc:creator>
  <cp:lastModifiedBy>Dalia Staškuvienė</cp:lastModifiedBy>
  <cp:revision>2</cp:revision>
  <cp:lastPrinted>2016-11-29T13:05:00Z</cp:lastPrinted>
  <dcterms:created xsi:type="dcterms:W3CDTF">2017-02-03T12:23:00Z</dcterms:created>
  <dcterms:modified xsi:type="dcterms:W3CDTF">2017-02-03T12:23:00Z</dcterms:modified>
</cp:coreProperties>
</file>